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20FE8" w14:textId="152C8F15" w:rsidR="00A33F16" w:rsidRPr="00704307" w:rsidRDefault="00DA2F47" w:rsidP="00DC6623">
      <w:pPr>
        <w:pStyle w:val="Titre"/>
        <w:rPr>
          <w:noProof/>
        </w:rPr>
      </w:pPr>
      <w:r>
        <w:rPr>
          <w:noProof/>
        </w:rPr>
        <w:t>La villa Enver Hoxha</w:t>
      </w:r>
      <w:r w:rsidR="008540F2">
        <w:rPr>
          <w:noProof/>
        </w:rPr>
        <w:t>,</w:t>
      </w:r>
      <w:r w:rsidR="00A5528A">
        <w:rPr>
          <w:noProof/>
        </w:rPr>
        <w:t xml:space="preserve"> entre passé et présent</w:t>
      </w:r>
    </w:p>
    <w:p w14:paraId="47391C0F" w14:textId="77777777" w:rsidR="00D101FD" w:rsidRDefault="00D101FD" w:rsidP="001F2693">
      <w:pPr>
        <w:rPr>
          <w:noProof/>
        </w:rPr>
      </w:pPr>
    </w:p>
    <w:p w14:paraId="7EAEF39B" w14:textId="3600867E" w:rsidR="0048768A" w:rsidRPr="0048768A" w:rsidRDefault="0048768A" w:rsidP="00665C2D">
      <w:pPr>
        <w:jc w:val="both"/>
        <w:rPr>
          <w:b/>
          <w:bCs/>
          <w:noProof/>
        </w:rPr>
      </w:pPr>
      <w:r w:rsidRPr="0048768A">
        <w:rPr>
          <w:b/>
          <w:bCs/>
          <w:noProof/>
        </w:rPr>
        <w:t>Voix off</w:t>
      </w:r>
    </w:p>
    <w:p w14:paraId="558D2865" w14:textId="2A69936B" w:rsidR="004C0B28" w:rsidRDefault="00F85D21" w:rsidP="00E3764B">
      <w:pPr>
        <w:jc w:val="both"/>
        <w:rPr>
          <w:noProof/>
        </w:rPr>
      </w:pPr>
      <w:r>
        <w:rPr>
          <w:noProof/>
        </w:rPr>
        <w:t>Dans ce bâtiment chargé d’histoire, au détour d’une porte</w:t>
      </w:r>
      <w:r w:rsidR="007F55A2">
        <w:rPr>
          <w:noProof/>
        </w:rPr>
        <w:t xml:space="preserve"> ou d’un escalier, des LED</w:t>
      </w:r>
      <w:r w:rsidR="005B47D0">
        <w:rPr>
          <w:rStyle w:val="Appelnotedebasdep"/>
          <w:noProof/>
        </w:rPr>
        <w:footnoteReference w:id="2"/>
      </w:r>
      <w:r w:rsidR="007F55A2">
        <w:rPr>
          <w:noProof/>
        </w:rPr>
        <w:t xml:space="preserve"> rouges s’étirent.</w:t>
      </w:r>
    </w:p>
    <w:p w14:paraId="024DD6B7" w14:textId="0C686759" w:rsidR="00BC115B" w:rsidRDefault="007F55A2" w:rsidP="00BC115B">
      <w:pPr>
        <w:jc w:val="both"/>
        <w:rPr>
          <w:noProof/>
        </w:rPr>
      </w:pPr>
      <w:r>
        <w:rPr>
          <w:b/>
          <w:bCs/>
          <w:noProof/>
        </w:rPr>
        <w:t>Gerta Xhaferaj</w:t>
      </w:r>
      <w:r w:rsidR="00BC115B" w:rsidRPr="00A21EDD">
        <w:rPr>
          <w:b/>
          <w:bCs/>
          <w:noProof/>
        </w:rPr>
        <w:t>,</w:t>
      </w:r>
      <w:r w:rsidR="00BC115B">
        <w:rPr>
          <w:noProof/>
        </w:rPr>
        <w:t xml:space="preserve"> </w:t>
      </w:r>
      <w:r w:rsidR="00BC115B" w:rsidRPr="00A21EDD">
        <w:rPr>
          <w:i/>
          <w:iCs/>
          <w:noProof/>
        </w:rPr>
        <w:t>artiste</w:t>
      </w:r>
      <w:r>
        <w:rPr>
          <w:i/>
          <w:iCs/>
          <w:noProof/>
        </w:rPr>
        <w:t xml:space="preserve"> albanaise</w:t>
      </w:r>
    </w:p>
    <w:p w14:paraId="4D121E89" w14:textId="166EC86D" w:rsidR="00A21EDD" w:rsidRDefault="007F55A2" w:rsidP="00BC115B">
      <w:pPr>
        <w:jc w:val="both"/>
        <w:rPr>
          <w:rFonts w:cs="Tahoma"/>
          <w:noProof/>
        </w:rPr>
      </w:pPr>
      <w:r>
        <w:rPr>
          <w:rFonts w:cs="Tahoma"/>
          <w:noProof/>
        </w:rPr>
        <w:t>Elles traversent la villa, elles suivent toutes les formes architecturales et vont jusqu’à la façade.</w:t>
      </w:r>
    </w:p>
    <w:p w14:paraId="16335D8E" w14:textId="77777777" w:rsidR="00BC115B" w:rsidRPr="0048768A" w:rsidRDefault="00BC115B" w:rsidP="00BC115B">
      <w:pPr>
        <w:jc w:val="both"/>
        <w:rPr>
          <w:b/>
          <w:bCs/>
          <w:noProof/>
        </w:rPr>
      </w:pPr>
      <w:r w:rsidRPr="0048768A">
        <w:rPr>
          <w:b/>
          <w:bCs/>
          <w:noProof/>
        </w:rPr>
        <w:t>Voix off</w:t>
      </w:r>
    </w:p>
    <w:p w14:paraId="1CE84888" w14:textId="3948C402" w:rsidR="00BC115B" w:rsidRDefault="007F55A2" w:rsidP="00A21EDD">
      <w:pPr>
        <w:jc w:val="both"/>
        <w:rPr>
          <w:rFonts w:cs="Tahoma"/>
          <w:noProof/>
        </w:rPr>
      </w:pPr>
      <w:r>
        <w:rPr>
          <w:rFonts w:cs="Tahoma"/>
          <w:noProof/>
        </w:rPr>
        <w:t>C’est l’installation de cette artiste albanaise, Gerta Xhaferaj, en résidence depuis trois mois dans cette ancienne demeure du dictateur Enver Hoxha</w:t>
      </w:r>
      <w:r w:rsidR="005B47D0">
        <w:rPr>
          <w:rStyle w:val="Appelnotedebasdep"/>
          <w:rFonts w:cs="Tahoma"/>
          <w:noProof/>
        </w:rPr>
        <w:footnoteReference w:id="3"/>
      </w:r>
      <w:r>
        <w:rPr>
          <w:rFonts w:cs="Tahoma"/>
          <w:noProof/>
        </w:rPr>
        <w:t xml:space="preserve">. </w:t>
      </w:r>
    </w:p>
    <w:p w14:paraId="17D6109B" w14:textId="77777777" w:rsidR="007F55A2" w:rsidRDefault="007F55A2" w:rsidP="007F55A2">
      <w:pPr>
        <w:jc w:val="both"/>
        <w:rPr>
          <w:noProof/>
        </w:rPr>
      </w:pPr>
      <w:r>
        <w:rPr>
          <w:b/>
          <w:bCs/>
          <w:noProof/>
        </w:rPr>
        <w:t>Gerta Xhaferaj</w:t>
      </w:r>
      <w:r w:rsidRPr="00A21EDD">
        <w:rPr>
          <w:b/>
          <w:bCs/>
          <w:noProof/>
        </w:rPr>
        <w:t>,</w:t>
      </w:r>
      <w:r>
        <w:rPr>
          <w:noProof/>
        </w:rPr>
        <w:t xml:space="preserve"> </w:t>
      </w:r>
      <w:r w:rsidRPr="00A21EDD">
        <w:rPr>
          <w:i/>
          <w:iCs/>
          <w:noProof/>
        </w:rPr>
        <w:t>artiste</w:t>
      </w:r>
      <w:r>
        <w:rPr>
          <w:i/>
          <w:iCs/>
          <w:noProof/>
        </w:rPr>
        <w:t xml:space="preserve"> albanaise</w:t>
      </w:r>
    </w:p>
    <w:p w14:paraId="5BA57FD1" w14:textId="60BD0CC5" w:rsidR="00BC115B" w:rsidRDefault="007F55A2" w:rsidP="00BC115B">
      <w:pPr>
        <w:jc w:val="both"/>
        <w:rPr>
          <w:rFonts w:cs="Tahoma"/>
          <w:noProof/>
        </w:rPr>
      </w:pPr>
      <w:r>
        <w:rPr>
          <w:rFonts w:cs="Tahoma"/>
          <w:noProof/>
        </w:rPr>
        <w:t>La lumière rouge nous guide jusqu’aux tunnels. La raison pour laquelle elle est visible en façade, c’est pour que les gens à l’extérieur, et pas seulement ceux qui visitent la villa, comprennent qu’il y a des tunnels cachés au sous-sol car tout le monde devrait être au courant.</w:t>
      </w:r>
    </w:p>
    <w:p w14:paraId="0850202F" w14:textId="77777777" w:rsidR="00BC115B" w:rsidRPr="0048768A" w:rsidRDefault="00BC115B" w:rsidP="00BC115B">
      <w:pPr>
        <w:jc w:val="both"/>
        <w:rPr>
          <w:b/>
          <w:bCs/>
          <w:noProof/>
        </w:rPr>
      </w:pPr>
      <w:r w:rsidRPr="0048768A">
        <w:rPr>
          <w:b/>
          <w:bCs/>
          <w:noProof/>
        </w:rPr>
        <w:t>Voix off</w:t>
      </w:r>
    </w:p>
    <w:p w14:paraId="1046D46D" w14:textId="7CEC3C86" w:rsidR="00BC115B" w:rsidRDefault="007F55A2" w:rsidP="00BC115B">
      <w:pPr>
        <w:jc w:val="both"/>
        <w:rPr>
          <w:rFonts w:cs="Tahoma"/>
          <w:noProof/>
        </w:rPr>
      </w:pPr>
      <w:r>
        <w:rPr>
          <w:rFonts w:cs="Tahoma"/>
          <w:noProof/>
        </w:rPr>
        <w:t>Depuis la mort du dictateur, beaucoup de bâtiments emblématiques de son passage au pouvoir sont restés porte close. Ces tunnels faisaient donc encore aujourd’hui partie de la légende urbaine. Via la fondation française Art Explora, des artistes albanais et internationaux sont invités en résidence dans une des ailes de cette demeure de 3 000 m</w:t>
      </w:r>
      <w:r w:rsidRPr="007F55A2">
        <w:rPr>
          <w:rFonts w:cs="Tahoma"/>
          <w:noProof/>
          <w:vertAlign w:val="superscript"/>
        </w:rPr>
        <w:t>2</w:t>
      </w:r>
      <w:r>
        <w:rPr>
          <w:rFonts w:cs="Tahoma"/>
          <w:noProof/>
        </w:rPr>
        <w:t xml:space="preserve">. Pour cette première session, une photographe française a été </w:t>
      </w:r>
      <w:r w:rsidR="009351B4">
        <w:rPr>
          <w:rFonts w:cs="Tahoma"/>
          <w:noProof/>
        </w:rPr>
        <w:t>sélectionnée</w:t>
      </w:r>
      <w:r>
        <w:rPr>
          <w:rFonts w:cs="Tahoma"/>
          <w:noProof/>
        </w:rPr>
        <w:t>.</w:t>
      </w:r>
    </w:p>
    <w:p w14:paraId="032206A1" w14:textId="2684EA88" w:rsidR="00BC115B" w:rsidRDefault="009351B4" w:rsidP="00BC115B">
      <w:pPr>
        <w:jc w:val="both"/>
        <w:rPr>
          <w:rFonts w:cs="Tahoma"/>
          <w:noProof/>
        </w:rPr>
      </w:pPr>
      <w:r>
        <w:rPr>
          <w:rFonts w:cs="Tahoma"/>
          <w:b/>
          <w:bCs/>
          <w:noProof/>
        </w:rPr>
        <w:t>Marianne Maric</w:t>
      </w:r>
      <w:r w:rsidR="00BC115B" w:rsidRPr="00BC115B">
        <w:rPr>
          <w:rFonts w:cs="Tahoma"/>
          <w:b/>
          <w:bCs/>
          <w:noProof/>
        </w:rPr>
        <w:t>,</w:t>
      </w:r>
      <w:r w:rsidR="00BC115B">
        <w:rPr>
          <w:rFonts w:cs="Tahoma"/>
          <w:noProof/>
        </w:rPr>
        <w:t xml:space="preserve"> </w:t>
      </w:r>
      <w:r>
        <w:rPr>
          <w:rFonts w:cs="Tahoma"/>
          <w:i/>
          <w:iCs/>
          <w:noProof/>
        </w:rPr>
        <w:t>photographe</w:t>
      </w:r>
    </w:p>
    <w:p w14:paraId="7C0C3DC8" w14:textId="15BD4FEA" w:rsidR="00BC115B" w:rsidRDefault="007F55A2" w:rsidP="00BC115B">
      <w:pPr>
        <w:jc w:val="both"/>
        <w:rPr>
          <w:rFonts w:cs="Tahoma"/>
          <w:noProof/>
        </w:rPr>
      </w:pPr>
      <w:r>
        <w:rPr>
          <w:rFonts w:cs="Tahoma"/>
          <w:noProof/>
        </w:rPr>
        <w:t>Là, j’ai un peu détourné l’objet qui est en fait un élément de costume traditionnel</w:t>
      </w:r>
      <w:r w:rsidR="009351B4">
        <w:rPr>
          <w:rFonts w:cs="Tahoma"/>
          <w:noProof/>
        </w:rPr>
        <w:t xml:space="preserve"> qu’on met normalement ici, en fait. </w:t>
      </w:r>
    </w:p>
    <w:p w14:paraId="6B162472" w14:textId="4F3EF671" w:rsidR="009351B4" w:rsidRDefault="009351B4" w:rsidP="009351B4">
      <w:pPr>
        <w:jc w:val="both"/>
        <w:rPr>
          <w:rFonts w:cs="Tahoma"/>
          <w:noProof/>
        </w:rPr>
      </w:pPr>
      <w:r>
        <w:rPr>
          <w:rFonts w:cs="Tahoma"/>
          <w:b/>
          <w:bCs/>
          <w:noProof/>
        </w:rPr>
        <w:t>Voix off</w:t>
      </w:r>
    </w:p>
    <w:p w14:paraId="31944D46" w14:textId="0DDACCA8" w:rsidR="009351B4" w:rsidRDefault="009351B4" w:rsidP="00BC115B">
      <w:pPr>
        <w:jc w:val="both"/>
        <w:rPr>
          <w:rFonts w:cs="Tahoma"/>
          <w:noProof/>
        </w:rPr>
      </w:pPr>
      <w:r>
        <w:rPr>
          <w:rFonts w:cs="Tahoma"/>
          <w:noProof/>
        </w:rPr>
        <w:t>Son travail s’inspire du mouvement Marubi</w:t>
      </w:r>
      <w:r w:rsidR="005151A3">
        <w:rPr>
          <w:rStyle w:val="Appelnotedebasdep"/>
          <w:rFonts w:cs="Tahoma"/>
          <w:noProof/>
        </w:rPr>
        <w:footnoteReference w:id="4"/>
      </w:r>
      <w:r>
        <w:rPr>
          <w:rFonts w:cs="Tahoma"/>
          <w:noProof/>
        </w:rPr>
        <w:t>, une référence photographique albanaise de la deuxième partie du 19</w:t>
      </w:r>
      <w:r w:rsidRPr="009351B4">
        <w:rPr>
          <w:rFonts w:cs="Tahoma"/>
          <w:noProof/>
          <w:vertAlign w:val="superscript"/>
        </w:rPr>
        <w:t>e</w:t>
      </w:r>
      <w:r>
        <w:rPr>
          <w:rFonts w:cs="Tahoma"/>
          <w:noProof/>
        </w:rPr>
        <w:t xml:space="preserve"> siècle. </w:t>
      </w:r>
    </w:p>
    <w:p w14:paraId="59843182" w14:textId="77777777" w:rsidR="009351B4" w:rsidRDefault="009351B4" w:rsidP="009351B4">
      <w:pPr>
        <w:jc w:val="both"/>
        <w:rPr>
          <w:rFonts w:cs="Tahoma"/>
          <w:noProof/>
        </w:rPr>
      </w:pPr>
      <w:r>
        <w:rPr>
          <w:rFonts w:cs="Tahoma"/>
          <w:b/>
          <w:bCs/>
          <w:noProof/>
        </w:rPr>
        <w:t>Marianne Maric</w:t>
      </w:r>
      <w:r w:rsidRPr="00BC115B">
        <w:rPr>
          <w:rFonts w:cs="Tahoma"/>
          <w:b/>
          <w:bCs/>
          <w:noProof/>
        </w:rPr>
        <w:t>,</w:t>
      </w:r>
      <w:r>
        <w:rPr>
          <w:rFonts w:cs="Tahoma"/>
          <w:noProof/>
        </w:rPr>
        <w:t xml:space="preserve"> </w:t>
      </w:r>
      <w:r>
        <w:rPr>
          <w:rFonts w:cs="Tahoma"/>
          <w:i/>
          <w:iCs/>
          <w:noProof/>
        </w:rPr>
        <w:t>photographe</w:t>
      </w:r>
    </w:p>
    <w:p w14:paraId="1E155C23" w14:textId="40B9220D" w:rsidR="007B7AAF" w:rsidRDefault="009351B4" w:rsidP="00BC115B">
      <w:pPr>
        <w:jc w:val="both"/>
        <w:rPr>
          <w:rFonts w:cs="Tahoma"/>
          <w:noProof/>
        </w:rPr>
      </w:pPr>
      <w:r>
        <w:rPr>
          <w:rFonts w:cs="Tahoma"/>
          <w:noProof/>
        </w:rPr>
        <w:t xml:space="preserve">Ils ont commencé en 1850 à faire des portraits avec toujours des fonds de tapis ou des fonds traditionnels et </w:t>
      </w:r>
      <w:r w:rsidR="005B47D0">
        <w:rPr>
          <w:rFonts w:cs="Tahoma"/>
          <w:noProof/>
        </w:rPr>
        <w:t xml:space="preserve">de </w:t>
      </w:r>
      <w:r>
        <w:rPr>
          <w:rFonts w:cs="Tahoma"/>
          <w:noProof/>
        </w:rPr>
        <w:t>toute</w:t>
      </w:r>
      <w:r w:rsidR="005B47D0">
        <w:rPr>
          <w:rFonts w:cs="Tahoma"/>
          <w:noProof/>
        </w:rPr>
        <w:t>s</w:t>
      </w:r>
      <w:r>
        <w:rPr>
          <w:rFonts w:cs="Tahoma"/>
          <w:noProof/>
        </w:rPr>
        <w:t xml:space="preserve"> classe</w:t>
      </w:r>
      <w:r w:rsidR="005B47D0">
        <w:rPr>
          <w:rFonts w:cs="Tahoma"/>
          <w:noProof/>
        </w:rPr>
        <w:t>s</w:t>
      </w:r>
      <w:r>
        <w:rPr>
          <w:rFonts w:cs="Tahoma"/>
          <w:noProof/>
        </w:rPr>
        <w:t xml:space="preserve"> sociale</w:t>
      </w:r>
      <w:r w:rsidR="005B47D0">
        <w:rPr>
          <w:rFonts w:cs="Tahoma"/>
          <w:noProof/>
        </w:rPr>
        <w:t>s</w:t>
      </w:r>
      <w:r>
        <w:rPr>
          <w:rFonts w:cs="Tahoma"/>
          <w:noProof/>
        </w:rPr>
        <w:t xml:space="preserve">. C’est un hommage aussi à la culture populaire qui revient dans cette </w:t>
      </w:r>
      <w:r w:rsidRPr="005B0034">
        <w:rPr>
          <w:rFonts w:cs="Tahoma"/>
          <w:noProof/>
        </w:rPr>
        <w:t>villa</w:t>
      </w:r>
      <w:r>
        <w:rPr>
          <w:rFonts w:cs="Tahoma"/>
          <w:noProof/>
        </w:rPr>
        <w:t>. Le cycle Marubi s’est arrêté, en fait, sous un ordre de ce dictateur-là.</w:t>
      </w:r>
    </w:p>
    <w:p w14:paraId="0DE388BD" w14:textId="77777777" w:rsidR="009351B4" w:rsidRPr="0048768A" w:rsidRDefault="009351B4" w:rsidP="009351B4">
      <w:pPr>
        <w:jc w:val="both"/>
        <w:rPr>
          <w:b/>
          <w:bCs/>
          <w:noProof/>
        </w:rPr>
      </w:pPr>
      <w:r w:rsidRPr="0048768A">
        <w:rPr>
          <w:b/>
          <w:bCs/>
          <w:noProof/>
        </w:rPr>
        <w:t>Voix off</w:t>
      </w:r>
    </w:p>
    <w:p w14:paraId="4B2B4D11" w14:textId="442D443B" w:rsidR="009351B4" w:rsidRDefault="009351B4" w:rsidP="00BC115B">
      <w:pPr>
        <w:jc w:val="both"/>
        <w:rPr>
          <w:rFonts w:cs="Tahoma"/>
          <w:noProof/>
        </w:rPr>
      </w:pPr>
      <w:r>
        <w:rPr>
          <w:rFonts w:cs="Tahoma"/>
          <w:noProof/>
        </w:rPr>
        <w:t>Ouvrir cette villa au public et la transformer en lieu de création, et non en lieu de mémoire, est un choix audacieux. Selon cet historien, c’est un pied de nez direct à la censure du passé et à la persécution des artistes de l’époque.</w:t>
      </w:r>
    </w:p>
    <w:p w14:paraId="1FCA4D71" w14:textId="5A1F19DB" w:rsidR="009351B4" w:rsidRDefault="009351B4" w:rsidP="009351B4">
      <w:pPr>
        <w:jc w:val="both"/>
        <w:rPr>
          <w:rFonts w:cs="Tahoma"/>
          <w:noProof/>
        </w:rPr>
      </w:pPr>
      <w:r>
        <w:rPr>
          <w:rFonts w:cs="Tahoma"/>
          <w:b/>
          <w:bCs/>
          <w:noProof/>
        </w:rPr>
        <w:t>Elidor Mëhilli</w:t>
      </w:r>
      <w:r w:rsidRPr="00BC115B">
        <w:rPr>
          <w:rFonts w:cs="Tahoma"/>
          <w:b/>
          <w:bCs/>
          <w:noProof/>
        </w:rPr>
        <w:t>,</w:t>
      </w:r>
      <w:r>
        <w:rPr>
          <w:rFonts w:cs="Tahoma"/>
          <w:noProof/>
        </w:rPr>
        <w:t xml:space="preserve"> </w:t>
      </w:r>
      <w:r>
        <w:rPr>
          <w:rFonts w:cs="Tahoma"/>
          <w:i/>
          <w:iCs/>
          <w:noProof/>
        </w:rPr>
        <w:t>historien</w:t>
      </w:r>
    </w:p>
    <w:p w14:paraId="0D570CE7" w14:textId="77E10FC4" w:rsidR="009351B4" w:rsidRDefault="009351B4" w:rsidP="00BC115B">
      <w:pPr>
        <w:jc w:val="both"/>
        <w:rPr>
          <w:rFonts w:cs="Tahoma"/>
          <w:noProof/>
        </w:rPr>
      </w:pPr>
      <w:r>
        <w:rPr>
          <w:rFonts w:cs="Tahoma"/>
          <w:noProof/>
        </w:rPr>
        <w:t>Je pense que l’idée était de remplir l’endroit avec toutes ces choses qui étaient considérées comme étant contre le régime socialiste et contre l’État. C’est une manière de réhabiliter le lieu mais je pense que l’autre point important, selon moi, en tant qu’auteur et historien qui a grandi dans cette ville, c’est que c’est gratuit et ouvert à tout le monde.</w:t>
      </w:r>
    </w:p>
    <w:p w14:paraId="3B9F3A53" w14:textId="33BFB721" w:rsidR="009351B4" w:rsidRPr="009351B4" w:rsidRDefault="009351B4" w:rsidP="00BC115B">
      <w:pPr>
        <w:jc w:val="both"/>
        <w:rPr>
          <w:rFonts w:cs="Tahoma"/>
          <w:b/>
          <w:bCs/>
          <w:noProof/>
        </w:rPr>
      </w:pPr>
      <w:r w:rsidRPr="009351B4">
        <w:rPr>
          <w:rFonts w:cs="Tahoma"/>
          <w:b/>
          <w:bCs/>
          <w:noProof/>
        </w:rPr>
        <w:t>Voix off</w:t>
      </w:r>
    </w:p>
    <w:p w14:paraId="4A9D76B8" w14:textId="32546E5D" w:rsidR="009351B4" w:rsidRDefault="009351B4" w:rsidP="00BC115B">
      <w:pPr>
        <w:jc w:val="both"/>
        <w:rPr>
          <w:rFonts w:cs="Tahoma"/>
          <w:noProof/>
        </w:rPr>
      </w:pPr>
      <w:r>
        <w:rPr>
          <w:rFonts w:cs="Tahoma"/>
          <w:noProof/>
        </w:rPr>
        <w:t>Un projet qui fait écho à la politique plus générale de l’Albanie actuelle</w:t>
      </w:r>
      <w:r w:rsidR="005B47D0">
        <w:rPr>
          <w:rFonts w:cs="Tahoma"/>
          <w:noProof/>
        </w:rPr>
        <w:t> : faire table</w:t>
      </w:r>
      <w:r w:rsidR="000D29E5">
        <w:rPr>
          <w:rFonts w:cs="Tahoma"/>
          <w:noProof/>
        </w:rPr>
        <w:t xml:space="preserve"> </w:t>
      </w:r>
      <w:r w:rsidR="005B47D0">
        <w:rPr>
          <w:rFonts w:cs="Tahoma"/>
          <w:noProof/>
        </w:rPr>
        <w:t>rase de sa période sombre et remettre des couleurs partout dans le pays.</w:t>
      </w:r>
    </w:p>
    <w:sectPr w:rsidR="009351B4" w:rsidSect="00A33F16">
      <w:headerReference w:type="default" r:id="rId11"/>
      <w:footerReference w:type="default" r:id="rId12"/>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BB844" w14:textId="77777777" w:rsidR="006F396C" w:rsidRDefault="006F396C" w:rsidP="001F2693">
      <w:r>
        <w:separator/>
      </w:r>
    </w:p>
  </w:endnote>
  <w:endnote w:type="continuationSeparator" w:id="0">
    <w:p w14:paraId="00658C71" w14:textId="77777777" w:rsidR="006F396C" w:rsidRDefault="006F396C" w:rsidP="001F2693">
      <w:r>
        <w:continuationSeparator/>
      </w:r>
    </w:p>
  </w:endnote>
  <w:endnote w:type="continuationNotice" w:id="1">
    <w:p w14:paraId="172A512B" w14:textId="77777777" w:rsidR="006F396C" w:rsidRDefault="006F396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F082821" w14:textId="77777777">
      <w:tc>
        <w:tcPr>
          <w:tcW w:w="4265" w:type="pct"/>
        </w:tcPr>
        <w:p w14:paraId="3157BBAA" w14:textId="77777777" w:rsidR="00A33F16" w:rsidRDefault="00A33F16" w:rsidP="001F2693">
          <w:pPr>
            <w:pStyle w:val="Pieddepage"/>
          </w:pPr>
        </w:p>
      </w:tc>
      <w:tc>
        <w:tcPr>
          <w:tcW w:w="735" w:type="pct"/>
        </w:tcPr>
        <w:p w14:paraId="0DC739FC" w14:textId="155CE0B9"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1B39B6">
            <w:rPr>
              <w:b/>
              <w:noProof/>
            </w:rPr>
            <w:t>1</w:t>
          </w:r>
          <w:r w:rsidRPr="00A33F16">
            <w:rPr>
              <w:b/>
            </w:rPr>
            <w:fldChar w:fldCharType="end"/>
          </w:r>
          <w:r>
            <w:t xml:space="preserve"> / </w:t>
          </w:r>
          <w:fldSimple w:instr="NUMPAGES  \* Arabic  \* MERGEFORMAT">
            <w:r w:rsidR="001B39B6">
              <w:rPr>
                <w:noProof/>
              </w:rPr>
              <w:t>1</w:t>
            </w:r>
          </w:fldSimple>
        </w:p>
      </w:tc>
    </w:tr>
  </w:tbl>
  <w:p w14:paraId="66F83A93"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B83E0" w14:textId="77777777" w:rsidR="006F396C" w:rsidRDefault="006F396C" w:rsidP="001F2693">
      <w:r>
        <w:separator/>
      </w:r>
    </w:p>
  </w:footnote>
  <w:footnote w:type="continuationSeparator" w:id="0">
    <w:p w14:paraId="20F541C8" w14:textId="77777777" w:rsidR="006F396C" w:rsidRDefault="006F396C" w:rsidP="001F2693">
      <w:r>
        <w:continuationSeparator/>
      </w:r>
    </w:p>
  </w:footnote>
  <w:footnote w:type="continuationNotice" w:id="1">
    <w:p w14:paraId="432846AD" w14:textId="77777777" w:rsidR="006F396C" w:rsidRDefault="006F396C">
      <w:pPr>
        <w:spacing w:line="240" w:lineRule="auto"/>
      </w:pPr>
    </w:p>
  </w:footnote>
  <w:footnote w:id="2">
    <w:p w14:paraId="2F493E3F" w14:textId="3D888450" w:rsidR="005B47D0" w:rsidRPr="000D29E5" w:rsidRDefault="005B47D0" w:rsidP="000D29E5">
      <w:pPr>
        <w:pStyle w:val="Notedebasdepage"/>
        <w:jc w:val="both"/>
        <w:rPr>
          <w:noProof/>
          <w:sz w:val="16"/>
          <w:szCs w:val="16"/>
        </w:rPr>
      </w:pPr>
      <w:r w:rsidRPr="000D29E5">
        <w:rPr>
          <w:rStyle w:val="Appelnotedebasdep"/>
          <w:noProof/>
          <w:sz w:val="16"/>
          <w:szCs w:val="16"/>
        </w:rPr>
        <w:footnoteRef/>
      </w:r>
      <w:r w:rsidRPr="000D29E5">
        <w:rPr>
          <w:noProof/>
          <w:sz w:val="16"/>
          <w:szCs w:val="16"/>
        </w:rPr>
        <w:t xml:space="preserve"> Anglicisme pour « diode électroluminescente ». </w:t>
      </w:r>
    </w:p>
  </w:footnote>
  <w:footnote w:id="3">
    <w:p w14:paraId="37945D7D" w14:textId="6E166951" w:rsidR="005B47D0" w:rsidRPr="000D29E5" w:rsidRDefault="005B47D0" w:rsidP="000D29E5">
      <w:pPr>
        <w:pStyle w:val="Notedebasdepage"/>
        <w:jc w:val="both"/>
        <w:rPr>
          <w:noProof/>
          <w:sz w:val="16"/>
          <w:szCs w:val="16"/>
        </w:rPr>
      </w:pPr>
      <w:r w:rsidRPr="000D29E5">
        <w:rPr>
          <w:rStyle w:val="Appelnotedebasdep"/>
          <w:noProof/>
          <w:sz w:val="16"/>
          <w:szCs w:val="16"/>
        </w:rPr>
        <w:footnoteRef/>
      </w:r>
      <w:r w:rsidRPr="000D29E5">
        <w:rPr>
          <w:noProof/>
          <w:sz w:val="16"/>
          <w:szCs w:val="16"/>
        </w:rPr>
        <w:t xml:space="preserve"> Enver Hoxha (1908-1</w:t>
      </w:r>
      <w:r w:rsidR="005F3539">
        <w:rPr>
          <w:noProof/>
          <w:sz w:val="16"/>
          <w:szCs w:val="16"/>
        </w:rPr>
        <w:t>98</w:t>
      </w:r>
      <w:r w:rsidRPr="000D29E5">
        <w:rPr>
          <w:noProof/>
          <w:sz w:val="16"/>
          <w:szCs w:val="16"/>
        </w:rPr>
        <w:t>5) dirige la République populaire socialiste d’Albanie de 1945 jusqu’à sa mort, en tant que Premier secrétaire du parti communiste d’Albanie, qu’il fonde en 1941. Il met en place un régime qui isole profondément le pays du reste de l’Europe</w:t>
      </w:r>
      <w:r w:rsidR="005151A3" w:rsidRPr="000D29E5">
        <w:rPr>
          <w:noProof/>
          <w:sz w:val="16"/>
          <w:szCs w:val="16"/>
        </w:rPr>
        <w:t>, inscrit dans le courant staliniste</w:t>
      </w:r>
      <w:r w:rsidRPr="000D29E5">
        <w:rPr>
          <w:noProof/>
          <w:sz w:val="16"/>
          <w:szCs w:val="16"/>
        </w:rPr>
        <w:t xml:space="preserve">. Sa </w:t>
      </w:r>
      <w:r w:rsidR="005151A3" w:rsidRPr="000D29E5">
        <w:rPr>
          <w:noProof/>
          <w:sz w:val="16"/>
          <w:szCs w:val="16"/>
        </w:rPr>
        <w:t>dictature</w:t>
      </w:r>
      <w:r w:rsidRPr="000D29E5">
        <w:rPr>
          <w:noProof/>
          <w:sz w:val="16"/>
          <w:szCs w:val="16"/>
        </w:rPr>
        <w:t xml:space="preserve"> est considérée comme l’une des plus répressives et des plus sanglantes de l’histoire contemporaine de l’Europe. (Source : Wikipédia).</w:t>
      </w:r>
    </w:p>
  </w:footnote>
  <w:footnote w:id="4">
    <w:p w14:paraId="1DE9F2C5" w14:textId="1DA1899D" w:rsidR="005151A3" w:rsidRPr="000D29E5" w:rsidRDefault="005151A3" w:rsidP="000D29E5">
      <w:pPr>
        <w:pStyle w:val="Notedebasdepage"/>
        <w:jc w:val="both"/>
        <w:rPr>
          <w:sz w:val="16"/>
          <w:szCs w:val="16"/>
        </w:rPr>
      </w:pPr>
      <w:r w:rsidRPr="000D29E5">
        <w:rPr>
          <w:rStyle w:val="Appelnotedebasdep"/>
          <w:noProof/>
          <w:sz w:val="16"/>
          <w:szCs w:val="16"/>
        </w:rPr>
        <w:footnoteRef/>
      </w:r>
      <w:r w:rsidRPr="000D29E5">
        <w:rPr>
          <w:noProof/>
          <w:sz w:val="16"/>
          <w:szCs w:val="16"/>
        </w:rPr>
        <w:t xml:space="preserve"> Pietro Marubi (1834-1903) s’installe en Albanie où il ouvre en 1858 le premier studio photographique du pays. Trois générations se succèderont, de 1858 à 1950, immortalisant la société albanaise </w:t>
      </w:r>
      <w:r w:rsidR="000D29E5" w:rsidRPr="000D29E5">
        <w:rPr>
          <w:noProof/>
          <w:sz w:val="16"/>
          <w:szCs w:val="16"/>
        </w:rPr>
        <w:t>au fur et à mesure des changements sociaux et politiques. (Source : voyagealbanie.com).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AB705" w14:textId="26EA5580" w:rsidR="0038238C" w:rsidRPr="006E513E" w:rsidRDefault="0038238C" w:rsidP="0038238C">
    <w:pPr>
      <w:pStyle w:val="En-tteniveau"/>
      <w:numPr>
        <w:ilvl w:val="0"/>
        <w:numId w:val="0"/>
      </w:numPr>
      <w:jc w:val="left"/>
    </w:pPr>
    <w:r>
      <w:rPr>
        <w:noProof/>
        <w:lang w:eastAsia="fr-FR"/>
      </w:rPr>
      <w:drawing>
        <wp:inline distT="0" distB="0" distL="0" distR="0" wp14:anchorId="661495F3" wp14:editId="2C53D39F">
          <wp:extent cx="2295525" cy="266700"/>
          <wp:effectExtent l="0" t="0" r="9525" b="0"/>
          <wp:docPr id="120502136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5525" cy="266700"/>
                  </a:xfrm>
                  <a:prstGeom prst="rect">
                    <a:avLst/>
                  </a:prstGeom>
                  <a:noFill/>
                  <a:ln>
                    <a:noFill/>
                  </a:ln>
                </pic:spPr>
              </pic:pic>
            </a:graphicData>
          </a:graphic>
        </wp:inline>
      </w:drawing>
    </w:r>
    <w:r>
      <w:rPr>
        <w:noProof/>
        <w:lang w:eastAsia="fr-FR"/>
      </w:rPr>
      <w:drawing>
        <wp:inline distT="0" distB="0" distL="0" distR="0" wp14:anchorId="3EC97DC5" wp14:editId="09EE8632">
          <wp:extent cx="666750" cy="266700"/>
          <wp:effectExtent l="0" t="0" r="0" b="0"/>
          <wp:docPr id="367639228" name="Image 1" descr="Une image contenant Graphique, graphisme, Polic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639228" name="Image 1" descr="Une image contenant Graphique, graphisme, Police, capture d’écran&#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6750" cy="266700"/>
                  </a:xfrm>
                  <a:prstGeom prst="rect">
                    <a:avLst/>
                  </a:prstGeom>
                  <a:noFill/>
                  <a:ln>
                    <a:noFill/>
                  </a:ln>
                </pic:spPr>
              </pic:pic>
            </a:graphicData>
          </a:graphic>
        </wp:inline>
      </w:drawing>
    </w:r>
  </w:p>
  <w:p w14:paraId="46356FF3" w14:textId="04E2BBC2" w:rsidR="00A33F16" w:rsidRDefault="00A33F16" w:rsidP="001F2693">
    <w:pPr>
      <w:pStyle w:val="En-tteniveau"/>
      <w:numPr>
        <w:ilvl w:val="0"/>
        <w:numId w:val="0"/>
      </w:numP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79389416">
    <w:abstractNumId w:val="1"/>
  </w:num>
  <w:num w:numId="2" w16cid:durableId="1231846799">
    <w:abstractNumId w:val="3"/>
  </w:num>
  <w:num w:numId="3" w16cid:durableId="1709597624">
    <w:abstractNumId w:val="2"/>
  </w:num>
  <w:num w:numId="4" w16cid:durableId="560866864">
    <w:abstractNumId w:val="4"/>
  </w:num>
  <w:num w:numId="5" w16cid:durableId="7707853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213D8"/>
    <w:rsid w:val="000239D7"/>
    <w:rsid w:val="00025A98"/>
    <w:rsid w:val="000279AE"/>
    <w:rsid w:val="00033B6C"/>
    <w:rsid w:val="00040A9E"/>
    <w:rsid w:val="00044F72"/>
    <w:rsid w:val="00045BE8"/>
    <w:rsid w:val="0004609E"/>
    <w:rsid w:val="00054E88"/>
    <w:rsid w:val="000607D9"/>
    <w:rsid w:val="00064E90"/>
    <w:rsid w:val="00065E62"/>
    <w:rsid w:val="00071AF8"/>
    <w:rsid w:val="00071B22"/>
    <w:rsid w:val="00077D06"/>
    <w:rsid w:val="00084FAD"/>
    <w:rsid w:val="00085195"/>
    <w:rsid w:val="000870A7"/>
    <w:rsid w:val="000934A4"/>
    <w:rsid w:val="000937EB"/>
    <w:rsid w:val="00096D7C"/>
    <w:rsid w:val="000972BF"/>
    <w:rsid w:val="000B23A9"/>
    <w:rsid w:val="000B477E"/>
    <w:rsid w:val="000B6FA6"/>
    <w:rsid w:val="000C3F58"/>
    <w:rsid w:val="000D29E5"/>
    <w:rsid w:val="000E7564"/>
    <w:rsid w:val="000E7C20"/>
    <w:rsid w:val="000F1433"/>
    <w:rsid w:val="001016C7"/>
    <w:rsid w:val="00101E59"/>
    <w:rsid w:val="00102E31"/>
    <w:rsid w:val="00104991"/>
    <w:rsid w:val="00105F1E"/>
    <w:rsid w:val="00114353"/>
    <w:rsid w:val="00117B0A"/>
    <w:rsid w:val="00130E4F"/>
    <w:rsid w:val="00152261"/>
    <w:rsid w:val="00153F13"/>
    <w:rsid w:val="001573B9"/>
    <w:rsid w:val="00165801"/>
    <w:rsid w:val="00165DA7"/>
    <w:rsid w:val="001665B3"/>
    <w:rsid w:val="001735B2"/>
    <w:rsid w:val="00173A0B"/>
    <w:rsid w:val="001816A7"/>
    <w:rsid w:val="00181B3E"/>
    <w:rsid w:val="00183309"/>
    <w:rsid w:val="0018610E"/>
    <w:rsid w:val="001900CD"/>
    <w:rsid w:val="001902C0"/>
    <w:rsid w:val="0019270D"/>
    <w:rsid w:val="00193BCB"/>
    <w:rsid w:val="00195EBA"/>
    <w:rsid w:val="001A3DBF"/>
    <w:rsid w:val="001A4099"/>
    <w:rsid w:val="001B39B6"/>
    <w:rsid w:val="001C2FE8"/>
    <w:rsid w:val="001D08E7"/>
    <w:rsid w:val="001D173C"/>
    <w:rsid w:val="001D20B8"/>
    <w:rsid w:val="001D6CB3"/>
    <w:rsid w:val="001E4867"/>
    <w:rsid w:val="001E6AFB"/>
    <w:rsid w:val="001F0816"/>
    <w:rsid w:val="001F1E2C"/>
    <w:rsid w:val="001F1FBB"/>
    <w:rsid w:val="001F2693"/>
    <w:rsid w:val="001F35EE"/>
    <w:rsid w:val="001F52D1"/>
    <w:rsid w:val="001F658A"/>
    <w:rsid w:val="00205C48"/>
    <w:rsid w:val="00207B08"/>
    <w:rsid w:val="00207B7A"/>
    <w:rsid w:val="00221443"/>
    <w:rsid w:val="00227382"/>
    <w:rsid w:val="00240758"/>
    <w:rsid w:val="0024143D"/>
    <w:rsid w:val="00247040"/>
    <w:rsid w:val="00247986"/>
    <w:rsid w:val="002512A1"/>
    <w:rsid w:val="00254B11"/>
    <w:rsid w:val="00277F28"/>
    <w:rsid w:val="00284FBA"/>
    <w:rsid w:val="002873EB"/>
    <w:rsid w:val="00290871"/>
    <w:rsid w:val="00290DCF"/>
    <w:rsid w:val="00294262"/>
    <w:rsid w:val="002A340F"/>
    <w:rsid w:val="002A4678"/>
    <w:rsid w:val="002A7F5D"/>
    <w:rsid w:val="002B5D65"/>
    <w:rsid w:val="002B6290"/>
    <w:rsid w:val="002C3C8A"/>
    <w:rsid w:val="002D0720"/>
    <w:rsid w:val="002D3DB1"/>
    <w:rsid w:val="002D6C48"/>
    <w:rsid w:val="002D7815"/>
    <w:rsid w:val="002E7259"/>
    <w:rsid w:val="0030143B"/>
    <w:rsid w:val="00306066"/>
    <w:rsid w:val="003105D5"/>
    <w:rsid w:val="003374AB"/>
    <w:rsid w:val="00337655"/>
    <w:rsid w:val="003377FD"/>
    <w:rsid w:val="00341CA8"/>
    <w:rsid w:val="003423E1"/>
    <w:rsid w:val="0034335D"/>
    <w:rsid w:val="00360161"/>
    <w:rsid w:val="003653B3"/>
    <w:rsid w:val="00365BEB"/>
    <w:rsid w:val="00366209"/>
    <w:rsid w:val="00370004"/>
    <w:rsid w:val="003802C0"/>
    <w:rsid w:val="0038176B"/>
    <w:rsid w:val="00381C10"/>
    <w:rsid w:val="0038238C"/>
    <w:rsid w:val="00384B80"/>
    <w:rsid w:val="003A64A7"/>
    <w:rsid w:val="003B4273"/>
    <w:rsid w:val="003B6E1C"/>
    <w:rsid w:val="003C150C"/>
    <w:rsid w:val="003D0727"/>
    <w:rsid w:val="003D7EE2"/>
    <w:rsid w:val="003E0286"/>
    <w:rsid w:val="003E24D1"/>
    <w:rsid w:val="003E3522"/>
    <w:rsid w:val="003E7C15"/>
    <w:rsid w:val="003F1643"/>
    <w:rsid w:val="003F5496"/>
    <w:rsid w:val="003F6130"/>
    <w:rsid w:val="00402FD8"/>
    <w:rsid w:val="00404846"/>
    <w:rsid w:val="00416CD6"/>
    <w:rsid w:val="00417295"/>
    <w:rsid w:val="00417504"/>
    <w:rsid w:val="00422BD3"/>
    <w:rsid w:val="00424FD7"/>
    <w:rsid w:val="00432295"/>
    <w:rsid w:val="0043340A"/>
    <w:rsid w:val="0043355D"/>
    <w:rsid w:val="00443F56"/>
    <w:rsid w:val="00444CCA"/>
    <w:rsid w:val="00451B78"/>
    <w:rsid w:val="00454D29"/>
    <w:rsid w:val="00463EE2"/>
    <w:rsid w:val="00475DA5"/>
    <w:rsid w:val="00476730"/>
    <w:rsid w:val="00480B74"/>
    <w:rsid w:val="00483228"/>
    <w:rsid w:val="004864ED"/>
    <w:rsid w:val="0048768A"/>
    <w:rsid w:val="004902D9"/>
    <w:rsid w:val="00491CDF"/>
    <w:rsid w:val="004924AC"/>
    <w:rsid w:val="004946BF"/>
    <w:rsid w:val="004961B4"/>
    <w:rsid w:val="004A7836"/>
    <w:rsid w:val="004B0262"/>
    <w:rsid w:val="004B255B"/>
    <w:rsid w:val="004B3567"/>
    <w:rsid w:val="004B53DE"/>
    <w:rsid w:val="004C0B28"/>
    <w:rsid w:val="004C0D9C"/>
    <w:rsid w:val="004C120C"/>
    <w:rsid w:val="004C4DC6"/>
    <w:rsid w:val="004C65E9"/>
    <w:rsid w:val="004D18D3"/>
    <w:rsid w:val="004D5D65"/>
    <w:rsid w:val="004E1DF6"/>
    <w:rsid w:val="004F34E6"/>
    <w:rsid w:val="00503C53"/>
    <w:rsid w:val="005044C8"/>
    <w:rsid w:val="00505CCD"/>
    <w:rsid w:val="005139CD"/>
    <w:rsid w:val="005151A3"/>
    <w:rsid w:val="00517B97"/>
    <w:rsid w:val="00523BC2"/>
    <w:rsid w:val="00524785"/>
    <w:rsid w:val="005277D9"/>
    <w:rsid w:val="00531912"/>
    <w:rsid w:val="00532C8E"/>
    <w:rsid w:val="00534A06"/>
    <w:rsid w:val="00534AB9"/>
    <w:rsid w:val="00542AB7"/>
    <w:rsid w:val="00546A19"/>
    <w:rsid w:val="0055605A"/>
    <w:rsid w:val="00557E4D"/>
    <w:rsid w:val="00563306"/>
    <w:rsid w:val="00563FD4"/>
    <w:rsid w:val="0056421C"/>
    <w:rsid w:val="00572693"/>
    <w:rsid w:val="005838D5"/>
    <w:rsid w:val="00586736"/>
    <w:rsid w:val="005A1CF8"/>
    <w:rsid w:val="005B0034"/>
    <w:rsid w:val="005B02D7"/>
    <w:rsid w:val="005B47D0"/>
    <w:rsid w:val="005B4F8B"/>
    <w:rsid w:val="005C1741"/>
    <w:rsid w:val="005C444D"/>
    <w:rsid w:val="005C520B"/>
    <w:rsid w:val="005C6F75"/>
    <w:rsid w:val="005C6F8D"/>
    <w:rsid w:val="005C7A5D"/>
    <w:rsid w:val="005D3354"/>
    <w:rsid w:val="005D4FEF"/>
    <w:rsid w:val="005D52BB"/>
    <w:rsid w:val="005D5FD5"/>
    <w:rsid w:val="005E6636"/>
    <w:rsid w:val="005F3539"/>
    <w:rsid w:val="00611B5D"/>
    <w:rsid w:val="006212D2"/>
    <w:rsid w:val="00622470"/>
    <w:rsid w:val="00626204"/>
    <w:rsid w:val="00627E87"/>
    <w:rsid w:val="00642F4F"/>
    <w:rsid w:val="0065238A"/>
    <w:rsid w:val="00662ACE"/>
    <w:rsid w:val="00665C2D"/>
    <w:rsid w:val="00666EA6"/>
    <w:rsid w:val="00676A02"/>
    <w:rsid w:val="00683B88"/>
    <w:rsid w:val="00683E78"/>
    <w:rsid w:val="00687B15"/>
    <w:rsid w:val="00693266"/>
    <w:rsid w:val="00697FCC"/>
    <w:rsid w:val="006B1BDC"/>
    <w:rsid w:val="006C125D"/>
    <w:rsid w:val="006C3A37"/>
    <w:rsid w:val="006C5378"/>
    <w:rsid w:val="006C7443"/>
    <w:rsid w:val="006D0C4D"/>
    <w:rsid w:val="006D1C8D"/>
    <w:rsid w:val="006D2218"/>
    <w:rsid w:val="006D7676"/>
    <w:rsid w:val="006E03B2"/>
    <w:rsid w:val="006E5F63"/>
    <w:rsid w:val="006E7004"/>
    <w:rsid w:val="006F396C"/>
    <w:rsid w:val="006F61A3"/>
    <w:rsid w:val="00704307"/>
    <w:rsid w:val="007076AA"/>
    <w:rsid w:val="00710F54"/>
    <w:rsid w:val="00721E32"/>
    <w:rsid w:val="0072495B"/>
    <w:rsid w:val="00724BA7"/>
    <w:rsid w:val="00726D8C"/>
    <w:rsid w:val="00734A95"/>
    <w:rsid w:val="00747B79"/>
    <w:rsid w:val="0075052D"/>
    <w:rsid w:val="00751BC3"/>
    <w:rsid w:val="007544E9"/>
    <w:rsid w:val="0076001F"/>
    <w:rsid w:val="007602B2"/>
    <w:rsid w:val="00761938"/>
    <w:rsid w:val="00767462"/>
    <w:rsid w:val="007722D7"/>
    <w:rsid w:val="00776E4B"/>
    <w:rsid w:val="00777A7A"/>
    <w:rsid w:val="00793CDA"/>
    <w:rsid w:val="00794230"/>
    <w:rsid w:val="00794886"/>
    <w:rsid w:val="007A41EF"/>
    <w:rsid w:val="007B3128"/>
    <w:rsid w:val="007B7AAF"/>
    <w:rsid w:val="007C2DB8"/>
    <w:rsid w:val="007D503C"/>
    <w:rsid w:val="007E29A2"/>
    <w:rsid w:val="007E5FF1"/>
    <w:rsid w:val="007F4A23"/>
    <w:rsid w:val="007F55A2"/>
    <w:rsid w:val="007F604C"/>
    <w:rsid w:val="007F6BD1"/>
    <w:rsid w:val="00840CE7"/>
    <w:rsid w:val="008455C2"/>
    <w:rsid w:val="00846C1A"/>
    <w:rsid w:val="00850DAE"/>
    <w:rsid w:val="008540F2"/>
    <w:rsid w:val="008710C1"/>
    <w:rsid w:val="00872831"/>
    <w:rsid w:val="008816D5"/>
    <w:rsid w:val="00890EB1"/>
    <w:rsid w:val="00892606"/>
    <w:rsid w:val="00893922"/>
    <w:rsid w:val="00894082"/>
    <w:rsid w:val="008A3C32"/>
    <w:rsid w:val="008B027B"/>
    <w:rsid w:val="008E0BB2"/>
    <w:rsid w:val="008E21B2"/>
    <w:rsid w:val="008E44CA"/>
    <w:rsid w:val="008E5DCE"/>
    <w:rsid w:val="008E71F0"/>
    <w:rsid w:val="008E7E5A"/>
    <w:rsid w:val="008F514E"/>
    <w:rsid w:val="0090040D"/>
    <w:rsid w:val="00910626"/>
    <w:rsid w:val="00911F7B"/>
    <w:rsid w:val="00921F5C"/>
    <w:rsid w:val="00923A67"/>
    <w:rsid w:val="00933C02"/>
    <w:rsid w:val="009351B4"/>
    <w:rsid w:val="00935B90"/>
    <w:rsid w:val="00935E4E"/>
    <w:rsid w:val="00936D8B"/>
    <w:rsid w:val="00944D9F"/>
    <w:rsid w:val="009501AC"/>
    <w:rsid w:val="00950DF4"/>
    <w:rsid w:val="00954461"/>
    <w:rsid w:val="00955191"/>
    <w:rsid w:val="00957632"/>
    <w:rsid w:val="009604C8"/>
    <w:rsid w:val="00963D2E"/>
    <w:rsid w:val="00964C21"/>
    <w:rsid w:val="00972D0A"/>
    <w:rsid w:val="00973CB4"/>
    <w:rsid w:val="00975EF7"/>
    <w:rsid w:val="00981476"/>
    <w:rsid w:val="009845A6"/>
    <w:rsid w:val="0098781A"/>
    <w:rsid w:val="00991CCF"/>
    <w:rsid w:val="00992D98"/>
    <w:rsid w:val="009960E5"/>
    <w:rsid w:val="0099625C"/>
    <w:rsid w:val="009A01E5"/>
    <w:rsid w:val="009A1ADE"/>
    <w:rsid w:val="009A2216"/>
    <w:rsid w:val="009A3481"/>
    <w:rsid w:val="009B0173"/>
    <w:rsid w:val="009B27EA"/>
    <w:rsid w:val="009B302C"/>
    <w:rsid w:val="009B44FA"/>
    <w:rsid w:val="009B6207"/>
    <w:rsid w:val="009C065F"/>
    <w:rsid w:val="009C0986"/>
    <w:rsid w:val="009C1EE2"/>
    <w:rsid w:val="009C274F"/>
    <w:rsid w:val="009C4DCD"/>
    <w:rsid w:val="009C582A"/>
    <w:rsid w:val="009D5F30"/>
    <w:rsid w:val="009E58AE"/>
    <w:rsid w:val="009E7739"/>
    <w:rsid w:val="009F0C9D"/>
    <w:rsid w:val="009F593E"/>
    <w:rsid w:val="009F69A5"/>
    <w:rsid w:val="00A01AA1"/>
    <w:rsid w:val="00A02FE5"/>
    <w:rsid w:val="00A0515D"/>
    <w:rsid w:val="00A070F5"/>
    <w:rsid w:val="00A071B7"/>
    <w:rsid w:val="00A07F00"/>
    <w:rsid w:val="00A1000B"/>
    <w:rsid w:val="00A20058"/>
    <w:rsid w:val="00A21213"/>
    <w:rsid w:val="00A21EDD"/>
    <w:rsid w:val="00A33F16"/>
    <w:rsid w:val="00A36749"/>
    <w:rsid w:val="00A36B36"/>
    <w:rsid w:val="00A43A0B"/>
    <w:rsid w:val="00A44DEB"/>
    <w:rsid w:val="00A47D6F"/>
    <w:rsid w:val="00A5001F"/>
    <w:rsid w:val="00A53389"/>
    <w:rsid w:val="00A54A19"/>
    <w:rsid w:val="00A54F47"/>
    <w:rsid w:val="00A5528A"/>
    <w:rsid w:val="00A6080B"/>
    <w:rsid w:val="00A62208"/>
    <w:rsid w:val="00A62812"/>
    <w:rsid w:val="00A62D7F"/>
    <w:rsid w:val="00A630AF"/>
    <w:rsid w:val="00A66394"/>
    <w:rsid w:val="00A731C8"/>
    <w:rsid w:val="00A828BC"/>
    <w:rsid w:val="00A85451"/>
    <w:rsid w:val="00A87FEE"/>
    <w:rsid w:val="00A92D03"/>
    <w:rsid w:val="00AA598A"/>
    <w:rsid w:val="00AB4F6F"/>
    <w:rsid w:val="00AD50C8"/>
    <w:rsid w:val="00AD55CE"/>
    <w:rsid w:val="00AD5F59"/>
    <w:rsid w:val="00AE5F86"/>
    <w:rsid w:val="00AF0ED4"/>
    <w:rsid w:val="00AF256A"/>
    <w:rsid w:val="00AF2A01"/>
    <w:rsid w:val="00AF2BDC"/>
    <w:rsid w:val="00B02553"/>
    <w:rsid w:val="00B06791"/>
    <w:rsid w:val="00B10CC2"/>
    <w:rsid w:val="00B16A8A"/>
    <w:rsid w:val="00B4266C"/>
    <w:rsid w:val="00B53F01"/>
    <w:rsid w:val="00B5790F"/>
    <w:rsid w:val="00B72285"/>
    <w:rsid w:val="00B77A73"/>
    <w:rsid w:val="00B874F1"/>
    <w:rsid w:val="00B91A0D"/>
    <w:rsid w:val="00B930E7"/>
    <w:rsid w:val="00B933EE"/>
    <w:rsid w:val="00B960C3"/>
    <w:rsid w:val="00BC115B"/>
    <w:rsid w:val="00BC1BA6"/>
    <w:rsid w:val="00BC4A26"/>
    <w:rsid w:val="00BD17F9"/>
    <w:rsid w:val="00BD182E"/>
    <w:rsid w:val="00BD311C"/>
    <w:rsid w:val="00BD41C9"/>
    <w:rsid w:val="00BD73B7"/>
    <w:rsid w:val="00BD75FB"/>
    <w:rsid w:val="00BD776F"/>
    <w:rsid w:val="00BE2105"/>
    <w:rsid w:val="00BF2F7B"/>
    <w:rsid w:val="00C0029B"/>
    <w:rsid w:val="00C05360"/>
    <w:rsid w:val="00C05A8C"/>
    <w:rsid w:val="00C10A57"/>
    <w:rsid w:val="00C17D4E"/>
    <w:rsid w:val="00C222E3"/>
    <w:rsid w:val="00C253E9"/>
    <w:rsid w:val="00C337E5"/>
    <w:rsid w:val="00C52E14"/>
    <w:rsid w:val="00C54D83"/>
    <w:rsid w:val="00C56C7C"/>
    <w:rsid w:val="00C6514A"/>
    <w:rsid w:val="00C70404"/>
    <w:rsid w:val="00C71DF7"/>
    <w:rsid w:val="00C72C8D"/>
    <w:rsid w:val="00C76F40"/>
    <w:rsid w:val="00C83D60"/>
    <w:rsid w:val="00C853A1"/>
    <w:rsid w:val="00C854B0"/>
    <w:rsid w:val="00C8620D"/>
    <w:rsid w:val="00C92121"/>
    <w:rsid w:val="00C968E4"/>
    <w:rsid w:val="00CA7C1D"/>
    <w:rsid w:val="00CB07DA"/>
    <w:rsid w:val="00CB0DBC"/>
    <w:rsid w:val="00CB0DC9"/>
    <w:rsid w:val="00CC1F67"/>
    <w:rsid w:val="00CC3720"/>
    <w:rsid w:val="00CC644A"/>
    <w:rsid w:val="00CD75D8"/>
    <w:rsid w:val="00CF1759"/>
    <w:rsid w:val="00CF7757"/>
    <w:rsid w:val="00D07C2A"/>
    <w:rsid w:val="00D101FD"/>
    <w:rsid w:val="00D11759"/>
    <w:rsid w:val="00D1602B"/>
    <w:rsid w:val="00D25735"/>
    <w:rsid w:val="00D30381"/>
    <w:rsid w:val="00D338EF"/>
    <w:rsid w:val="00D45256"/>
    <w:rsid w:val="00D50596"/>
    <w:rsid w:val="00D51FD5"/>
    <w:rsid w:val="00D528B2"/>
    <w:rsid w:val="00D53764"/>
    <w:rsid w:val="00D60239"/>
    <w:rsid w:val="00D65E0F"/>
    <w:rsid w:val="00D67EC8"/>
    <w:rsid w:val="00D70B21"/>
    <w:rsid w:val="00D73F70"/>
    <w:rsid w:val="00D81E2B"/>
    <w:rsid w:val="00D8480F"/>
    <w:rsid w:val="00D91162"/>
    <w:rsid w:val="00D926E8"/>
    <w:rsid w:val="00D93A8A"/>
    <w:rsid w:val="00D97ED2"/>
    <w:rsid w:val="00DA2F47"/>
    <w:rsid w:val="00DA42D2"/>
    <w:rsid w:val="00DA7633"/>
    <w:rsid w:val="00DB033B"/>
    <w:rsid w:val="00DC35D5"/>
    <w:rsid w:val="00DC6623"/>
    <w:rsid w:val="00DD5CAC"/>
    <w:rsid w:val="00DD69A9"/>
    <w:rsid w:val="00DD7787"/>
    <w:rsid w:val="00DF0EF0"/>
    <w:rsid w:val="00DF41C4"/>
    <w:rsid w:val="00DF6F52"/>
    <w:rsid w:val="00E15A5E"/>
    <w:rsid w:val="00E325C9"/>
    <w:rsid w:val="00E326D0"/>
    <w:rsid w:val="00E3764B"/>
    <w:rsid w:val="00E51721"/>
    <w:rsid w:val="00E612E4"/>
    <w:rsid w:val="00E6179B"/>
    <w:rsid w:val="00E630E6"/>
    <w:rsid w:val="00E6417D"/>
    <w:rsid w:val="00E6480F"/>
    <w:rsid w:val="00E70D59"/>
    <w:rsid w:val="00E81AE6"/>
    <w:rsid w:val="00E856DE"/>
    <w:rsid w:val="00EA0A3B"/>
    <w:rsid w:val="00EA28BA"/>
    <w:rsid w:val="00EC0315"/>
    <w:rsid w:val="00EC125D"/>
    <w:rsid w:val="00ED1592"/>
    <w:rsid w:val="00ED3177"/>
    <w:rsid w:val="00ED59E2"/>
    <w:rsid w:val="00EE75C7"/>
    <w:rsid w:val="00EF0478"/>
    <w:rsid w:val="00EF7D68"/>
    <w:rsid w:val="00F00BBB"/>
    <w:rsid w:val="00F0258B"/>
    <w:rsid w:val="00F06CDF"/>
    <w:rsid w:val="00F1030D"/>
    <w:rsid w:val="00F13005"/>
    <w:rsid w:val="00F13055"/>
    <w:rsid w:val="00F13EB6"/>
    <w:rsid w:val="00F20BCE"/>
    <w:rsid w:val="00F21633"/>
    <w:rsid w:val="00F25C0B"/>
    <w:rsid w:val="00F347CA"/>
    <w:rsid w:val="00F35988"/>
    <w:rsid w:val="00F35AFE"/>
    <w:rsid w:val="00F44852"/>
    <w:rsid w:val="00F478C3"/>
    <w:rsid w:val="00F551EC"/>
    <w:rsid w:val="00F646CC"/>
    <w:rsid w:val="00F662E8"/>
    <w:rsid w:val="00F75CD2"/>
    <w:rsid w:val="00F763F4"/>
    <w:rsid w:val="00F81689"/>
    <w:rsid w:val="00F85D21"/>
    <w:rsid w:val="00F86226"/>
    <w:rsid w:val="00F964AD"/>
    <w:rsid w:val="00FA399B"/>
    <w:rsid w:val="00FA6597"/>
    <w:rsid w:val="00FB61FC"/>
    <w:rsid w:val="00FB6419"/>
    <w:rsid w:val="00FB77D5"/>
    <w:rsid w:val="00FC1BB5"/>
    <w:rsid w:val="00FC2263"/>
    <w:rsid w:val="00FD399C"/>
    <w:rsid w:val="00FD7126"/>
    <w:rsid w:val="00FE3F23"/>
    <w:rsid w:val="00FE775E"/>
    <w:rsid w:val="00FE7BAD"/>
    <w:rsid w:val="00FF0FBB"/>
    <w:rsid w:val="00FF227F"/>
    <w:rsid w:val="00FF2EE5"/>
    <w:rsid w:val="00FF43DE"/>
    <w:rsid w:val="00FF480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0283E5"/>
  <w15:chartTrackingRefBased/>
  <w15:docId w15:val="{93E3A721-A7E3-49A4-95C7-D620AD93B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paragraph" w:styleId="Notedebasdepage">
    <w:name w:val="footnote text"/>
    <w:basedOn w:val="Normal"/>
    <w:link w:val="NotedebasdepageCar"/>
    <w:uiPriority w:val="99"/>
    <w:semiHidden/>
    <w:unhideWhenUsed/>
    <w:rsid w:val="00CC644A"/>
    <w:pPr>
      <w:spacing w:line="240" w:lineRule="auto"/>
    </w:pPr>
    <w:rPr>
      <w:szCs w:val="20"/>
    </w:rPr>
  </w:style>
  <w:style w:type="character" w:customStyle="1" w:styleId="NotedebasdepageCar">
    <w:name w:val="Note de bas de page Car"/>
    <w:basedOn w:val="Policepardfaut"/>
    <w:link w:val="Notedebasdepage"/>
    <w:uiPriority w:val="99"/>
    <w:semiHidden/>
    <w:rsid w:val="00CC644A"/>
    <w:rPr>
      <w:rFonts w:ascii="Tahoma" w:hAnsi="Tahoma"/>
      <w:sz w:val="20"/>
      <w:szCs w:val="20"/>
      <w:lang w:val="fr-FR"/>
    </w:rPr>
  </w:style>
  <w:style w:type="character" w:styleId="Appelnotedebasdep">
    <w:name w:val="footnote reference"/>
    <w:basedOn w:val="Policepardfaut"/>
    <w:uiPriority w:val="99"/>
    <w:semiHidden/>
    <w:unhideWhenUsed/>
    <w:rsid w:val="00CC644A"/>
    <w:rPr>
      <w:vertAlign w:val="superscript"/>
    </w:rPr>
  </w:style>
  <w:style w:type="character" w:customStyle="1" w:styleId="Mentionnonrsolue1">
    <w:name w:val="Mention non résolue1"/>
    <w:basedOn w:val="Policepardfaut"/>
    <w:uiPriority w:val="99"/>
    <w:semiHidden/>
    <w:unhideWhenUsed/>
    <w:rsid w:val="00CC644A"/>
    <w:rPr>
      <w:color w:val="605E5C"/>
      <w:shd w:val="clear" w:color="auto" w:fill="E1DFDD"/>
    </w:rPr>
  </w:style>
  <w:style w:type="paragraph" w:styleId="Rvision">
    <w:name w:val="Revision"/>
    <w:hidden/>
    <w:uiPriority w:val="99"/>
    <w:semiHidden/>
    <w:rsid w:val="00085195"/>
    <w:pPr>
      <w:spacing w:after="0" w:line="240" w:lineRule="auto"/>
    </w:pPr>
    <w:rPr>
      <w:rFonts w:ascii="Tahoma" w:hAnsi="Tahoma"/>
      <w:sz w:val="20"/>
      <w:lang w:val="fr-FR"/>
    </w:rPr>
  </w:style>
  <w:style w:type="character" w:customStyle="1" w:styleId="Mentionnonrsolue2">
    <w:name w:val="Mention non résolue2"/>
    <w:basedOn w:val="Policepardfaut"/>
    <w:uiPriority w:val="99"/>
    <w:semiHidden/>
    <w:unhideWhenUsed/>
    <w:rsid w:val="001F1FBB"/>
    <w:rPr>
      <w:color w:val="605E5C"/>
      <w:shd w:val="clear" w:color="auto" w:fill="E1DFDD"/>
    </w:rPr>
  </w:style>
  <w:style w:type="paragraph" w:styleId="Textedebulles">
    <w:name w:val="Balloon Text"/>
    <w:basedOn w:val="Normal"/>
    <w:link w:val="TextedebullesCar"/>
    <w:uiPriority w:val="99"/>
    <w:semiHidden/>
    <w:unhideWhenUsed/>
    <w:rsid w:val="00F06CDF"/>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06CDF"/>
    <w:rPr>
      <w:rFonts w:ascii="Segoe UI" w:hAnsi="Segoe UI" w:cs="Segoe UI"/>
      <w:sz w:val="18"/>
      <w:szCs w:val="18"/>
      <w:lang w:val="fr-FR"/>
    </w:rPr>
  </w:style>
  <w:style w:type="character" w:styleId="Marquedecommentaire">
    <w:name w:val="annotation reference"/>
    <w:basedOn w:val="Policepardfaut"/>
    <w:uiPriority w:val="99"/>
    <w:semiHidden/>
    <w:unhideWhenUsed/>
    <w:rsid w:val="005D52BB"/>
    <w:rPr>
      <w:sz w:val="16"/>
      <w:szCs w:val="16"/>
    </w:rPr>
  </w:style>
  <w:style w:type="paragraph" w:styleId="Commentaire">
    <w:name w:val="annotation text"/>
    <w:basedOn w:val="Normal"/>
    <w:link w:val="CommentaireCar"/>
    <w:uiPriority w:val="99"/>
    <w:unhideWhenUsed/>
    <w:rsid w:val="005D52BB"/>
    <w:pPr>
      <w:spacing w:line="240" w:lineRule="auto"/>
    </w:pPr>
    <w:rPr>
      <w:szCs w:val="20"/>
    </w:rPr>
  </w:style>
  <w:style w:type="character" w:customStyle="1" w:styleId="CommentaireCar">
    <w:name w:val="Commentaire Car"/>
    <w:basedOn w:val="Policepardfaut"/>
    <w:link w:val="Commentaire"/>
    <w:uiPriority w:val="99"/>
    <w:rsid w:val="005D52BB"/>
    <w:rPr>
      <w:rFonts w:ascii="Tahoma" w:hAnsi="Tahoma"/>
      <w:sz w:val="20"/>
      <w:szCs w:val="20"/>
      <w:lang w:val="fr-FR"/>
    </w:rPr>
  </w:style>
  <w:style w:type="paragraph" w:styleId="Objetducommentaire">
    <w:name w:val="annotation subject"/>
    <w:basedOn w:val="Commentaire"/>
    <w:next w:val="Commentaire"/>
    <w:link w:val="ObjetducommentaireCar"/>
    <w:uiPriority w:val="99"/>
    <w:semiHidden/>
    <w:unhideWhenUsed/>
    <w:rsid w:val="005D52BB"/>
    <w:rPr>
      <w:b/>
      <w:bCs/>
    </w:rPr>
  </w:style>
  <w:style w:type="character" w:customStyle="1" w:styleId="ObjetducommentaireCar">
    <w:name w:val="Objet du commentaire Car"/>
    <w:basedOn w:val="CommentaireCar"/>
    <w:link w:val="Objetducommentaire"/>
    <w:uiPriority w:val="99"/>
    <w:semiHidden/>
    <w:rsid w:val="005D52BB"/>
    <w:rPr>
      <w:rFonts w:ascii="Tahoma" w:hAnsi="Tahoma"/>
      <w:b/>
      <w:bCs/>
      <w:sz w:val="20"/>
      <w:szCs w:val="20"/>
      <w:lang w:val="fr-FR"/>
    </w:rPr>
  </w:style>
  <w:style w:type="character" w:customStyle="1" w:styleId="Mentionnonrsolue3">
    <w:name w:val="Mention non résolue3"/>
    <w:basedOn w:val="Policepardfaut"/>
    <w:uiPriority w:val="99"/>
    <w:semiHidden/>
    <w:unhideWhenUsed/>
    <w:rsid w:val="00C253E9"/>
    <w:rPr>
      <w:color w:val="605E5C"/>
      <w:shd w:val="clear" w:color="auto" w:fill="E1DFDD"/>
    </w:rPr>
  </w:style>
  <w:style w:type="character" w:customStyle="1" w:styleId="Mentionnonrsolue4">
    <w:name w:val="Mention non résolue4"/>
    <w:basedOn w:val="Policepardfaut"/>
    <w:uiPriority w:val="99"/>
    <w:semiHidden/>
    <w:unhideWhenUsed/>
    <w:rsid w:val="00DD7787"/>
    <w:rPr>
      <w:color w:val="605E5C"/>
      <w:shd w:val="clear" w:color="auto" w:fill="E1DFDD"/>
    </w:rPr>
  </w:style>
  <w:style w:type="character" w:customStyle="1" w:styleId="Mentionnonrsolue5">
    <w:name w:val="Mention non résolue5"/>
    <w:basedOn w:val="Policepardfaut"/>
    <w:uiPriority w:val="99"/>
    <w:semiHidden/>
    <w:unhideWhenUsed/>
    <w:rsid w:val="00AE5F86"/>
    <w:rPr>
      <w:color w:val="605E5C"/>
      <w:shd w:val="clear" w:color="auto" w:fill="E1DFDD"/>
    </w:rPr>
  </w:style>
  <w:style w:type="character" w:customStyle="1" w:styleId="Mentionnonrsolue6">
    <w:name w:val="Mention non résolue6"/>
    <w:basedOn w:val="Policepardfaut"/>
    <w:uiPriority w:val="99"/>
    <w:semiHidden/>
    <w:unhideWhenUsed/>
    <w:rsid w:val="00534A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765341">
      <w:bodyDiv w:val="1"/>
      <w:marLeft w:val="0"/>
      <w:marRight w:val="0"/>
      <w:marTop w:val="0"/>
      <w:marBottom w:val="0"/>
      <w:divBdr>
        <w:top w:val="none" w:sz="0" w:space="0" w:color="auto"/>
        <w:left w:val="none" w:sz="0" w:space="0" w:color="auto"/>
        <w:bottom w:val="none" w:sz="0" w:space="0" w:color="auto"/>
        <w:right w:val="none" w:sz="0" w:space="0" w:color="auto"/>
      </w:divBdr>
    </w:div>
    <w:div w:id="953749275">
      <w:bodyDiv w:val="1"/>
      <w:marLeft w:val="0"/>
      <w:marRight w:val="0"/>
      <w:marTop w:val="0"/>
      <w:marBottom w:val="0"/>
      <w:divBdr>
        <w:top w:val="none" w:sz="0" w:space="0" w:color="auto"/>
        <w:left w:val="none" w:sz="0" w:space="0" w:color="auto"/>
        <w:bottom w:val="none" w:sz="0" w:space="0" w:color="auto"/>
        <w:right w:val="none" w:sz="0" w:space="0" w:color="auto"/>
      </w:divBdr>
    </w:div>
    <w:div w:id="1137381524">
      <w:bodyDiv w:val="1"/>
      <w:marLeft w:val="0"/>
      <w:marRight w:val="0"/>
      <w:marTop w:val="0"/>
      <w:marBottom w:val="0"/>
      <w:divBdr>
        <w:top w:val="none" w:sz="0" w:space="0" w:color="auto"/>
        <w:left w:val="none" w:sz="0" w:space="0" w:color="auto"/>
        <w:bottom w:val="none" w:sz="0" w:space="0" w:color="auto"/>
        <w:right w:val="none" w:sz="0" w:space="0" w:color="auto"/>
      </w:divBdr>
    </w:div>
    <w:div w:id="202651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6F2A774227364C8FB485AC197EB471" ma:contentTypeVersion="14" ma:contentTypeDescription="Crée un document." ma:contentTypeScope="" ma:versionID="b0f0e4ce3fa7c41c2f155bb92ced3439">
  <xsd:schema xmlns:xsd="http://www.w3.org/2001/XMLSchema" xmlns:xs="http://www.w3.org/2001/XMLSchema" xmlns:p="http://schemas.microsoft.com/office/2006/metadata/properties" xmlns:ns2="688a25d2-88b2-4f2c-96e5-833e281d9410" xmlns:ns3="f530c2a0-a222-4016-9900-466353cd4665" targetNamespace="http://schemas.microsoft.com/office/2006/metadata/properties" ma:root="true" ma:fieldsID="acf6ed05a10c86334b460ccc06859738" ns2:_="" ns3:_="">
    <xsd:import namespace="688a25d2-88b2-4f2c-96e5-833e281d9410"/>
    <xsd:import namespace="f530c2a0-a222-4016-9900-466353cd46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8a25d2-88b2-4f2c-96e5-833e281d94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6efef24e-859f-4c1a-8a42-65aacfbf4525"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30c2a0-a222-4016-9900-466353cd466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b5936e8-8160-4e11-a540-c3698e647969}" ma:internalName="TaxCatchAll" ma:showField="CatchAllData" ma:web="f530c2a0-a222-4016-9900-466353cd46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530c2a0-a222-4016-9900-466353cd4665" xsi:nil="true"/>
    <lcf76f155ced4ddcb4097134ff3c332f xmlns="688a25d2-88b2-4f2c-96e5-833e281d941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3CA7EC-E9BE-4881-847A-854B3877E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8a25d2-88b2-4f2c-96e5-833e281d9410"/>
    <ds:schemaRef ds:uri="f530c2a0-a222-4016-9900-466353cd4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2004DB-F6DD-441E-B43C-FA21CBBABD4A}">
  <ds:schemaRefs>
    <ds:schemaRef ds:uri="http://schemas.microsoft.com/sharepoint/v3/contenttype/forms"/>
  </ds:schemaRefs>
</ds:datastoreItem>
</file>

<file path=customXml/itemProps3.xml><?xml version="1.0" encoding="utf-8"?>
<ds:datastoreItem xmlns:ds="http://schemas.openxmlformats.org/officeDocument/2006/customXml" ds:itemID="{D86610D9-7CBB-4A10-901B-EA068FB07752}">
  <ds:schemaRefs>
    <ds:schemaRef ds:uri="http://purl.org/dc/dcmitype/"/>
    <ds:schemaRef ds:uri="688a25d2-88b2-4f2c-96e5-833e281d9410"/>
    <ds:schemaRef ds:uri="http://www.w3.org/XML/1998/namespace"/>
    <ds:schemaRef ds:uri="http://schemas.microsoft.com/office/infopath/2007/PartnerControls"/>
    <ds:schemaRef ds:uri="http://schemas.microsoft.com/office/2006/documentManagement/types"/>
    <ds:schemaRef ds:uri="http://purl.org/dc/elements/1.1/"/>
    <ds:schemaRef ds:uri="http://purl.org/dc/terms/"/>
    <ds:schemaRef ds:uri="http://schemas.openxmlformats.org/package/2006/metadata/core-properties"/>
    <ds:schemaRef ds:uri="f530c2a0-a222-4016-9900-466353cd4665"/>
    <ds:schemaRef ds:uri="http://schemas.microsoft.com/office/2006/metadata/properties"/>
  </ds:schemaRefs>
</ds:datastoreItem>
</file>

<file path=customXml/itemProps4.xml><?xml version="1.0" encoding="utf-8"?>
<ds:datastoreItem xmlns:ds="http://schemas.openxmlformats.org/officeDocument/2006/customXml" ds:itemID="{A830BF55-11E8-47DE-B339-F053C4EFE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399</Words>
  <Characters>2196</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Julie Monbet</cp:lastModifiedBy>
  <cp:revision>4</cp:revision>
  <cp:lastPrinted>2024-10-24T22:33:00Z</cp:lastPrinted>
  <dcterms:created xsi:type="dcterms:W3CDTF">2025-04-24T13:50:00Z</dcterms:created>
  <dcterms:modified xsi:type="dcterms:W3CDTF">2025-04-30T09:12:00Z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0x0101009C6F2A774227364C8FB485AC197EB471</vt:lpwstr>
  </property>
  <property fmtid="{D5CDD505-2E9C-101B-9397-08002B2CF9AE}" pid="3" name="MediaServiceImageTags">
    <vt:lpwstr/>
  </property>
</Properties>
</file>