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1CA5AD" w14:textId="77777777" w:rsidR="006A0671" w:rsidRPr="000C09CB" w:rsidRDefault="006A0671" w:rsidP="006A0671">
      <w:pPr>
        <w:pStyle w:val="Titre"/>
        <w:rPr>
          <w:lang w:val="fr-FR"/>
        </w:rPr>
      </w:pPr>
      <w:r w:rsidRPr="000C09CB">
        <w:rPr>
          <w:lang w:val="fr-FR"/>
        </w:rPr>
        <w:t>Qu’est-ce que l’extrême droite ?</w:t>
      </w:r>
    </w:p>
    <w:p w14:paraId="700C95E4" w14:textId="77777777" w:rsidR="006A0671" w:rsidRPr="000C09CB" w:rsidRDefault="006A0671" w:rsidP="006A0671">
      <w:pPr>
        <w:spacing w:after="60"/>
        <w:rPr>
          <w:rFonts w:ascii="Arial" w:eastAsiaTheme="majorEastAsia" w:hAnsi="Arial" w:cstheme="majorBidi"/>
          <w:b/>
          <w:caps/>
          <w:color w:val="3D5BA3" w:themeColor="accent1"/>
          <w:sz w:val="16"/>
          <w:szCs w:val="26"/>
          <w:lang w:val="fr-FR"/>
        </w:rPr>
      </w:pPr>
      <w:r w:rsidRPr="000C09CB">
        <w:rPr>
          <w:rFonts w:ascii="Arial" w:eastAsiaTheme="majorEastAsia" w:hAnsi="Arial" w:cstheme="majorBidi"/>
          <w:b/>
          <w:caps/>
          <w:color w:val="3D5BA3" w:themeColor="accent1"/>
          <w:sz w:val="16"/>
          <w:szCs w:val="26"/>
          <w:lang w:val="fr-FR"/>
        </w:rPr>
        <w:t>Dossier n° 856, Infographie TV5MONDE du 24/05/25</w:t>
      </w:r>
    </w:p>
    <w:p w14:paraId="4FB3D57C" w14:textId="77777777" w:rsidR="007179B3" w:rsidRDefault="007179B3" w:rsidP="00E51A1E">
      <w:pPr>
        <w:spacing w:after="60"/>
        <w:contextualSpacing/>
        <w:rPr>
          <w:b/>
          <w:lang w:val="fr-FR"/>
        </w:rPr>
      </w:pPr>
    </w:p>
    <w:p w14:paraId="77BA304D" w14:textId="5C853DA1" w:rsidR="00C92A5A" w:rsidRDefault="007473A8" w:rsidP="00E51A1E">
      <w:pPr>
        <w:spacing w:after="60"/>
        <w:contextualSpacing/>
        <w:rPr>
          <w:b/>
          <w:lang w:val="fr-FR"/>
        </w:rPr>
      </w:pPr>
      <w:r>
        <w:rPr>
          <w:b/>
          <w:lang w:val="fr-FR"/>
        </w:rPr>
        <w:t>Activité 1</w:t>
      </w:r>
      <w:r w:rsidR="005277D9">
        <w:rPr>
          <w:b/>
          <w:lang w:val="fr-FR"/>
        </w:rPr>
        <w:t xml:space="preserve"> : </w:t>
      </w:r>
      <w:bookmarkStart w:id="0" w:name="_Hlk191982171"/>
      <w:bookmarkStart w:id="1" w:name="_Hlk194397364"/>
      <w:r w:rsidR="00E51A1E" w:rsidRPr="000C09CB">
        <w:rPr>
          <w:b/>
          <w:lang w:val="fr-FR"/>
        </w:rPr>
        <w:t xml:space="preserve">écoutez </w:t>
      </w:r>
      <w:bookmarkStart w:id="2" w:name="_Hlk194496264"/>
      <w:bookmarkEnd w:id="0"/>
      <w:r w:rsidR="00E51A1E" w:rsidRPr="000C09CB">
        <w:rPr>
          <w:b/>
          <w:lang w:val="fr-FR"/>
        </w:rPr>
        <w:t xml:space="preserve">l’infographie et </w:t>
      </w:r>
      <w:r w:rsidR="00423FB3" w:rsidRPr="00423FB3">
        <w:rPr>
          <w:b/>
          <w:lang w:val="fr-FR"/>
        </w:rPr>
        <w:t>associez chaque période à un élément clé de l’évolution de l’extrême droite.</w:t>
      </w:r>
    </w:p>
    <w:p w14:paraId="7E9A3814" w14:textId="77777777" w:rsidR="00C92A5A" w:rsidRPr="000C09CB" w:rsidRDefault="00C92A5A" w:rsidP="00E51A1E">
      <w:pPr>
        <w:spacing w:after="60"/>
        <w:contextualSpacing/>
        <w:rPr>
          <w:b/>
          <w:lang w:val="fr-FR"/>
        </w:rPr>
      </w:pPr>
      <w:bookmarkStart w:id="3" w:name="_GoBack"/>
      <w:bookmarkEnd w:id="3"/>
    </w:p>
    <w:tbl>
      <w:tblPr>
        <w:tblStyle w:val="Grilledutableau"/>
        <w:tblW w:w="104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425"/>
        <w:gridCol w:w="992"/>
        <w:gridCol w:w="6651"/>
      </w:tblGrid>
      <w:tr w:rsidR="00C92A5A" w:rsidRPr="000C09CB" w14:paraId="1777565B" w14:textId="77777777" w:rsidTr="00C92A5A">
        <w:tc>
          <w:tcPr>
            <w:tcW w:w="2410" w:type="dxa"/>
            <w:vAlign w:val="center"/>
          </w:tcPr>
          <w:bookmarkEnd w:id="1"/>
          <w:bookmarkEnd w:id="2"/>
          <w:p w14:paraId="379D0A77" w14:textId="143A5AC0" w:rsidR="00C92A5A" w:rsidRPr="000C09CB" w:rsidRDefault="00C92A5A" w:rsidP="008F0904">
            <w:pPr>
              <w:spacing w:line="276" w:lineRule="auto"/>
              <w:jc w:val="right"/>
              <w:rPr>
                <w:bCs/>
              </w:rPr>
            </w:pPr>
            <w:r w:rsidRPr="000C09CB">
              <w:rPr>
                <w:bCs/>
              </w:rPr>
              <w:t>Après 1945</w:t>
            </w:r>
          </w:p>
        </w:tc>
        <w:tc>
          <w:tcPr>
            <w:tcW w:w="425" w:type="dxa"/>
            <w:vAlign w:val="center"/>
          </w:tcPr>
          <w:p w14:paraId="1EA73B6B" w14:textId="77777777" w:rsidR="00C92A5A" w:rsidRPr="000C09CB" w:rsidRDefault="00C92A5A" w:rsidP="008F0904">
            <w:pPr>
              <w:pStyle w:val="Paragraphedeliste"/>
              <w:numPr>
                <w:ilvl w:val="0"/>
                <w:numId w:val="6"/>
              </w:numPr>
              <w:spacing w:before="0" w:after="0" w:line="276" w:lineRule="auto"/>
              <w:ind w:left="470" w:hanging="357"/>
              <w:rPr>
                <w:bCs/>
              </w:rPr>
            </w:pPr>
          </w:p>
        </w:tc>
        <w:tc>
          <w:tcPr>
            <w:tcW w:w="992" w:type="dxa"/>
          </w:tcPr>
          <w:p w14:paraId="46C6DF1C" w14:textId="77777777" w:rsidR="00C92A5A" w:rsidRPr="000C09CB" w:rsidRDefault="00C92A5A" w:rsidP="00C92A5A">
            <w:pPr>
              <w:pStyle w:val="Paragraphedeliste"/>
              <w:numPr>
                <w:ilvl w:val="0"/>
                <w:numId w:val="6"/>
              </w:numPr>
              <w:tabs>
                <w:tab w:val="left" w:pos="738"/>
              </w:tabs>
              <w:spacing w:before="0" w:after="0" w:line="276" w:lineRule="auto"/>
              <w:ind w:hanging="357"/>
              <w:jc w:val="right"/>
              <w:rPr>
                <w:bCs/>
              </w:rPr>
            </w:pPr>
          </w:p>
        </w:tc>
        <w:tc>
          <w:tcPr>
            <w:tcW w:w="6651" w:type="dxa"/>
            <w:vAlign w:val="center"/>
          </w:tcPr>
          <w:p w14:paraId="46FDF39B" w14:textId="1EE8A04A" w:rsidR="00C92A5A" w:rsidRPr="000C09CB" w:rsidRDefault="00C92A5A" w:rsidP="008F0904">
            <w:pPr>
              <w:spacing w:line="276" w:lineRule="auto"/>
              <w:rPr>
                <w:bCs/>
              </w:rPr>
            </w:pPr>
            <w:r>
              <w:rPr>
                <w:bCs/>
              </w:rPr>
              <w:t>Le</w:t>
            </w:r>
            <w:r w:rsidRPr="000C09CB">
              <w:rPr>
                <w:bCs/>
              </w:rPr>
              <w:t xml:space="preserve"> discours </w:t>
            </w:r>
            <w:r>
              <w:rPr>
                <w:bCs/>
              </w:rPr>
              <w:t xml:space="preserve">de l’extrême droite est </w:t>
            </w:r>
            <w:r w:rsidRPr="000C09CB">
              <w:rPr>
                <w:bCs/>
              </w:rPr>
              <w:t xml:space="preserve">principalement </w:t>
            </w:r>
            <w:r w:rsidRPr="0075527F">
              <w:rPr>
                <w:bCs/>
              </w:rPr>
              <w:t>anticommuniste</w:t>
            </w:r>
            <w:r w:rsidRPr="000C09CB">
              <w:rPr>
                <w:bCs/>
              </w:rPr>
              <w:t>.</w:t>
            </w:r>
          </w:p>
        </w:tc>
      </w:tr>
      <w:tr w:rsidR="00C92A5A" w:rsidRPr="000C09CB" w14:paraId="3E0E852C" w14:textId="77777777" w:rsidTr="00C92A5A">
        <w:tc>
          <w:tcPr>
            <w:tcW w:w="2410" w:type="dxa"/>
            <w:vAlign w:val="center"/>
          </w:tcPr>
          <w:p w14:paraId="58389AC1" w14:textId="370FD82C" w:rsidR="00C92A5A" w:rsidRPr="000C09CB" w:rsidRDefault="00C92A5A" w:rsidP="008F0904">
            <w:pPr>
              <w:spacing w:line="276" w:lineRule="auto"/>
              <w:jc w:val="right"/>
              <w:rPr>
                <w:bCs/>
              </w:rPr>
            </w:pPr>
            <w:r w:rsidRPr="000C09CB">
              <w:rPr>
                <w:bCs/>
              </w:rPr>
              <w:t>Pendant la guerre froide</w:t>
            </w:r>
          </w:p>
        </w:tc>
        <w:tc>
          <w:tcPr>
            <w:tcW w:w="425" w:type="dxa"/>
            <w:vAlign w:val="center"/>
          </w:tcPr>
          <w:p w14:paraId="0E95B2B6" w14:textId="77777777" w:rsidR="00C92A5A" w:rsidRPr="000C09CB" w:rsidRDefault="00C92A5A" w:rsidP="008F0904">
            <w:pPr>
              <w:pStyle w:val="Paragraphedeliste"/>
              <w:numPr>
                <w:ilvl w:val="0"/>
                <w:numId w:val="6"/>
              </w:numPr>
              <w:spacing w:before="0" w:after="0" w:line="276" w:lineRule="auto"/>
              <w:ind w:left="470" w:hanging="357"/>
              <w:rPr>
                <w:bCs/>
              </w:rPr>
            </w:pPr>
          </w:p>
        </w:tc>
        <w:tc>
          <w:tcPr>
            <w:tcW w:w="992" w:type="dxa"/>
          </w:tcPr>
          <w:p w14:paraId="3FCB80DF" w14:textId="77777777" w:rsidR="00C92A5A" w:rsidRPr="000C09CB" w:rsidRDefault="00C92A5A" w:rsidP="00C92A5A">
            <w:pPr>
              <w:pStyle w:val="Paragraphedeliste"/>
              <w:numPr>
                <w:ilvl w:val="0"/>
                <w:numId w:val="6"/>
              </w:numPr>
              <w:tabs>
                <w:tab w:val="left" w:pos="738"/>
              </w:tabs>
              <w:spacing w:before="0" w:after="0" w:line="276" w:lineRule="auto"/>
              <w:ind w:hanging="357"/>
              <w:jc w:val="right"/>
              <w:rPr>
                <w:bCs/>
              </w:rPr>
            </w:pPr>
          </w:p>
        </w:tc>
        <w:tc>
          <w:tcPr>
            <w:tcW w:w="6651" w:type="dxa"/>
            <w:vAlign w:val="center"/>
          </w:tcPr>
          <w:p w14:paraId="2DFC2B1B" w14:textId="28111FED" w:rsidR="00C92A5A" w:rsidRPr="000C09CB" w:rsidRDefault="00C92A5A" w:rsidP="008F0904">
            <w:pPr>
              <w:spacing w:line="276" w:lineRule="auto"/>
              <w:rPr>
                <w:bCs/>
              </w:rPr>
            </w:pPr>
            <w:r w:rsidRPr="000C09CB">
              <w:rPr>
                <w:bCs/>
              </w:rPr>
              <w:t xml:space="preserve">Elle </w:t>
            </w:r>
            <w:bookmarkStart w:id="4" w:name="_Hlk199167616"/>
            <w:r w:rsidRPr="000C09CB">
              <w:rPr>
                <w:bCs/>
              </w:rPr>
              <w:t xml:space="preserve">devient </w:t>
            </w:r>
            <w:proofErr w:type="spellStart"/>
            <w:r w:rsidRPr="0075527F">
              <w:rPr>
                <w:bCs/>
              </w:rPr>
              <w:t>national-populiste</w:t>
            </w:r>
            <w:proofErr w:type="spellEnd"/>
            <w:r w:rsidRPr="0075527F">
              <w:rPr>
                <w:bCs/>
              </w:rPr>
              <w:t xml:space="preserve"> et son but est</w:t>
            </w:r>
            <w:r>
              <w:rPr>
                <w:bCs/>
              </w:rPr>
              <w:t xml:space="preserve"> </w:t>
            </w:r>
            <w:r w:rsidRPr="000C09CB">
              <w:rPr>
                <w:bCs/>
              </w:rPr>
              <w:t>de défendre la nation</w:t>
            </w:r>
            <w:r>
              <w:rPr>
                <w:bCs/>
              </w:rPr>
              <w:t>.</w:t>
            </w:r>
            <w:bookmarkEnd w:id="4"/>
          </w:p>
        </w:tc>
      </w:tr>
      <w:tr w:rsidR="00C92A5A" w:rsidRPr="000C09CB" w14:paraId="43D68A88" w14:textId="77777777" w:rsidTr="00C92A5A">
        <w:tc>
          <w:tcPr>
            <w:tcW w:w="2410" w:type="dxa"/>
            <w:vAlign w:val="center"/>
          </w:tcPr>
          <w:p w14:paraId="4E17C512" w14:textId="6937F77B" w:rsidR="00C92A5A" w:rsidRPr="000C09CB" w:rsidRDefault="00C92A5A" w:rsidP="008F0904">
            <w:pPr>
              <w:spacing w:line="276" w:lineRule="auto"/>
              <w:jc w:val="right"/>
              <w:rPr>
                <w:bCs/>
              </w:rPr>
            </w:pPr>
            <w:r w:rsidRPr="000C09CB">
              <w:rPr>
                <w:bCs/>
              </w:rPr>
              <w:t>Dans les années 1990</w:t>
            </w:r>
          </w:p>
        </w:tc>
        <w:tc>
          <w:tcPr>
            <w:tcW w:w="425" w:type="dxa"/>
            <w:vAlign w:val="center"/>
          </w:tcPr>
          <w:p w14:paraId="00F02673" w14:textId="77777777" w:rsidR="00C92A5A" w:rsidRPr="000C09CB" w:rsidRDefault="00C92A5A" w:rsidP="008F0904">
            <w:pPr>
              <w:pStyle w:val="Paragraphedeliste"/>
              <w:numPr>
                <w:ilvl w:val="0"/>
                <w:numId w:val="6"/>
              </w:numPr>
              <w:spacing w:before="0" w:after="0" w:line="276" w:lineRule="auto"/>
              <w:ind w:left="470" w:hanging="357"/>
              <w:rPr>
                <w:bCs/>
              </w:rPr>
            </w:pPr>
          </w:p>
        </w:tc>
        <w:tc>
          <w:tcPr>
            <w:tcW w:w="992" w:type="dxa"/>
          </w:tcPr>
          <w:p w14:paraId="2D36528D" w14:textId="77777777" w:rsidR="00C92A5A" w:rsidRPr="000C09CB" w:rsidRDefault="00C92A5A" w:rsidP="00C92A5A">
            <w:pPr>
              <w:pStyle w:val="Paragraphedeliste"/>
              <w:numPr>
                <w:ilvl w:val="0"/>
                <w:numId w:val="6"/>
              </w:numPr>
              <w:tabs>
                <w:tab w:val="left" w:pos="738"/>
              </w:tabs>
              <w:spacing w:before="0" w:after="0" w:line="276" w:lineRule="auto"/>
              <w:ind w:hanging="357"/>
              <w:jc w:val="right"/>
              <w:rPr>
                <w:bCs/>
              </w:rPr>
            </w:pPr>
          </w:p>
        </w:tc>
        <w:tc>
          <w:tcPr>
            <w:tcW w:w="6651" w:type="dxa"/>
            <w:vAlign w:val="center"/>
          </w:tcPr>
          <w:p w14:paraId="47B347CE" w14:textId="429E4CDC" w:rsidR="00C92A5A" w:rsidRPr="000C09CB" w:rsidRDefault="00C92A5A" w:rsidP="008F0904">
            <w:pPr>
              <w:spacing w:line="276" w:lineRule="auto"/>
              <w:rPr>
                <w:bCs/>
              </w:rPr>
            </w:pPr>
            <w:r>
              <w:rPr>
                <w:bCs/>
              </w:rPr>
              <w:t>Dans un contexte de crise, elle est de plus en plus représentée.</w:t>
            </w:r>
          </w:p>
        </w:tc>
      </w:tr>
      <w:tr w:rsidR="00C92A5A" w:rsidRPr="000C09CB" w14:paraId="041A54C9" w14:textId="77777777" w:rsidTr="00C92A5A">
        <w:tc>
          <w:tcPr>
            <w:tcW w:w="2410" w:type="dxa"/>
            <w:vAlign w:val="center"/>
          </w:tcPr>
          <w:p w14:paraId="188D59BA" w14:textId="046E37A1" w:rsidR="00C92A5A" w:rsidRPr="000C09CB" w:rsidRDefault="00C92A5A" w:rsidP="008F0904">
            <w:pPr>
              <w:spacing w:line="276" w:lineRule="auto"/>
              <w:jc w:val="right"/>
              <w:rPr>
                <w:bCs/>
              </w:rPr>
            </w:pPr>
            <w:bookmarkStart w:id="5" w:name="_Hlk199167622"/>
            <w:r w:rsidRPr="000C09CB">
              <w:rPr>
                <w:bCs/>
              </w:rPr>
              <w:t>Dans les années 2010</w:t>
            </w:r>
            <w:bookmarkEnd w:id="5"/>
          </w:p>
        </w:tc>
        <w:tc>
          <w:tcPr>
            <w:tcW w:w="425" w:type="dxa"/>
            <w:vAlign w:val="center"/>
          </w:tcPr>
          <w:p w14:paraId="01B7F1A4" w14:textId="77777777" w:rsidR="00C92A5A" w:rsidRPr="000C09CB" w:rsidRDefault="00C92A5A" w:rsidP="008F0904">
            <w:pPr>
              <w:pStyle w:val="Paragraphedeliste"/>
              <w:numPr>
                <w:ilvl w:val="0"/>
                <w:numId w:val="6"/>
              </w:numPr>
              <w:spacing w:before="0" w:after="0" w:line="276" w:lineRule="auto"/>
              <w:ind w:left="470" w:hanging="357"/>
              <w:rPr>
                <w:bCs/>
              </w:rPr>
            </w:pPr>
          </w:p>
        </w:tc>
        <w:tc>
          <w:tcPr>
            <w:tcW w:w="992" w:type="dxa"/>
          </w:tcPr>
          <w:p w14:paraId="46533118" w14:textId="77777777" w:rsidR="00C92A5A" w:rsidRPr="000C09CB" w:rsidRDefault="00C92A5A" w:rsidP="00C92A5A">
            <w:pPr>
              <w:pStyle w:val="Paragraphedeliste"/>
              <w:numPr>
                <w:ilvl w:val="0"/>
                <w:numId w:val="6"/>
              </w:numPr>
              <w:tabs>
                <w:tab w:val="left" w:pos="738"/>
              </w:tabs>
              <w:spacing w:before="0" w:after="0" w:line="276" w:lineRule="auto"/>
              <w:ind w:hanging="357"/>
              <w:jc w:val="right"/>
              <w:rPr>
                <w:bCs/>
              </w:rPr>
            </w:pPr>
          </w:p>
        </w:tc>
        <w:tc>
          <w:tcPr>
            <w:tcW w:w="6651" w:type="dxa"/>
            <w:vAlign w:val="center"/>
          </w:tcPr>
          <w:p w14:paraId="75B38C4D" w14:textId="18223CF9" w:rsidR="00C92A5A" w:rsidRPr="000C09CB" w:rsidRDefault="00C92A5A" w:rsidP="008F0904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Elle dépasse </w:t>
            </w:r>
            <w:r>
              <w:t>les 20 % des voix dans neuf pays européens.</w:t>
            </w:r>
          </w:p>
        </w:tc>
      </w:tr>
      <w:tr w:rsidR="00C92A5A" w:rsidRPr="000C09CB" w14:paraId="0B1302A3" w14:textId="77777777" w:rsidTr="00C92A5A">
        <w:tc>
          <w:tcPr>
            <w:tcW w:w="2410" w:type="dxa"/>
            <w:vAlign w:val="center"/>
          </w:tcPr>
          <w:p w14:paraId="1227B80D" w14:textId="4EDC6123" w:rsidR="00C92A5A" w:rsidRPr="000C09CB" w:rsidRDefault="00C92A5A" w:rsidP="008F0904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De nos jours</w:t>
            </w:r>
          </w:p>
        </w:tc>
        <w:tc>
          <w:tcPr>
            <w:tcW w:w="425" w:type="dxa"/>
            <w:vAlign w:val="center"/>
          </w:tcPr>
          <w:p w14:paraId="18CC92E2" w14:textId="77777777" w:rsidR="00C92A5A" w:rsidRPr="000C09CB" w:rsidRDefault="00C92A5A" w:rsidP="008F0904">
            <w:pPr>
              <w:pStyle w:val="Paragraphedeliste"/>
              <w:numPr>
                <w:ilvl w:val="0"/>
                <w:numId w:val="6"/>
              </w:numPr>
              <w:spacing w:before="0" w:after="0" w:line="276" w:lineRule="auto"/>
              <w:ind w:left="470" w:hanging="357"/>
              <w:rPr>
                <w:bCs/>
              </w:rPr>
            </w:pPr>
          </w:p>
        </w:tc>
        <w:tc>
          <w:tcPr>
            <w:tcW w:w="992" w:type="dxa"/>
          </w:tcPr>
          <w:p w14:paraId="10E8353F" w14:textId="77777777" w:rsidR="00C92A5A" w:rsidRPr="000C09CB" w:rsidRDefault="00C92A5A" w:rsidP="00C92A5A">
            <w:pPr>
              <w:pStyle w:val="Paragraphedeliste"/>
              <w:numPr>
                <w:ilvl w:val="0"/>
                <w:numId w:val="6"/>
              </w:numPr>
              <w:tabs>
                <w:tab w:val="left" w:pos="738"/>
              </w:tabs>
              <w:spacing w:before="0" w:after="0" w:line="276" w:lineRule="auto"/>
              <w:ind w:hanging="357"/>
              <w:jc w:val="right"/>
              <w:rPr>
                <w:bCs/>
              </w:rPr>
            </w:pPr>
          </w:p>
        </w:tc>
        <w:tc>
          <w:tcPr>
            <w:tcW w:w="6651" w:type="dxa"/>
            <w:vAlign w:val="center"/>
          </w:tcPr>
          <w:p w14:paraId="528673BD" w14:textId="0F344541" w:rsidR="00C92A5A" w:rsidRPr="000C09CB" w:rsidRDefault="00C92A5A" w:rsidP="008F0904">
            <w:pPr>
              <w:spacing w:line="276" w:lineRule="auto"/>
              <w:rPr>
                <w:bCs/>
              </w:rPr>
            </w:pPr>
            <w:r w:rsidRPr="000C09CB">
              <w:rPr>
                <w:bCs/>
              </w:rPr>
              <w:t xml:space="preserve">Elle est </w:t>
            </w:r>
            <w:r w:rsidRPr="0075527F">
              <w:rPr>
                <w:bCs/>
              </w:rPr>
              <w:t>minoritaire</w:t>
            </w:r>
            <w:r w:rsidRPr="000C09CB">
              <w:rPr>
                <w:bCs/>
              </w:rPr>
              <w:t xml:space="preserve"> après la défaite.</w:t>
            </w:r>
          </w:p>
        </w:tc>
      </w:tr>
    </w:tbl>
    <w:p w14:paraId="66AA2D9B" w14:textId="77777777" w:rsidR="00125C2E" w:rsidRPr="007658D2" w:rsidRDefault="00125C2E" w:rsidP="009720F8">
      <w:pPr>
        <w:rPr>
          <w:b/>
          <w:sz w:val="2"/>
          <w:lang w:val="fr-FR"/>
        </w:rPr>
      </w:pPr>
    </w:p>
    <w:p w14:paraId="0D0CB445" w14:textId="7489D480" w:rsidR="009720F8" w:rsidRDefault="00380E35" w:rsidP="009720F8">
      <w:pPr>
        <w:rPr>
          <w:b/>
          <w:lang w:val="fr-FR"/>
        </w:rPr>
      </w:pPr>
      <w:r>
        <w:rPr>
          <w:b/>
          <w:lang w:val="fr-FR"/>
        </w:rPr>
        <w:t>Activité 2 :</w:t>
      </w:r>
      <w:r w:rsidR="00E7167B">
        <w:rPr>
          <w:b/>
          <w:lang w:val="fr-FR"/>
        </w:rPr>
        <w:t xml:space="preserve"> </w:t>
      </w:r>
      <w:bookmarkStart w:id="6" w:name="_Hlk199224579"/>
      <w:r w:rsidR="009720F8">
        <w:rPr>
          <w:b/>
          <w:lang w:val="fr-FR"/>
        </w:rPr>
        <w:t>écoutez l</w:t>
      </w:r>
      <w:r w:rsidR="00582DB3">
        <w:rPr>
          <w:b/>
          <w:lang w:val="fr-FR"/>
        </w:rPr>
        <w:t>’infographie</w:t>
      </w:r>
      <w:r w:rsidR="009720F8">
        <w:rPr>
          <w:b/>
          <w:lang w:val="fr-FR"/>
        </w:rPr>
        <w:t xml:space="preserve"> et dites si les informations sont vraies </w:t>
      </w:r>
      <w:r w:rsidR="009720F8">
        <w:rPr>
          <w:b/>
          <w:noProof/>
          <w:lang w:val="fr-FR"/>
        </w:rPr>
        <w:drawing>
          <wp:inline distT="0" distB="0" distL="0" distR="0" wp14:anchorId="1D29CD39" wp14:editId="67B2B90E">
            <wp:extent cx="116840" cy="146050"/>
            <wp:effectExtent l="0" t="0" r="0" b="6350"/>
            <wp:docPr id="1550748488" name="Image 15507484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0748488" name="Image 17"/>
                    <pic:cNvPicPr/>
                  </pic:nvPicPr>
                  <pic:blipFill>
                    <a:blip r:embed="rId10" cstate="print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4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720F8">
        <w:rPr>
          <w:b/>
          <w:lang w:val="fr-FR"/>
        </w:rPr>
        <w:t xml:space="preserve">ou fausses </w:t>
      </w:r>
      <w:r w:rsidR="009720F8">
        <w:rPr>
          <w:b/>
          <w:noProof/>
          <w:lang w:val="fr-FR"/>
        </w:rPr>
        <w:drawing>
          <wp:inline distT="0" distB="0" distL="0" distR="0" wp14:anchorId="4E723483" wp14:editId="72A66902">
            <wp:extent cx="102235" cy="10223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5" cy="102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720F8">
        <w:rPr>
          <w:b/>
          <w:lang w:val="fr-FR"/>
        </w:rPr>
        <w:t xml:space="preserve"> .</w:t>
      </w:r>
      <w:bookmarkEnd w:id="6"/>
    </w:p>
    <w:p w14:paraId="4CF372B2" w14:textId="725923FB" w:rsidR="009720F8" w:rsidRPr="000C09CB" w:rsidRDefault="009720F8" w:rsidP="009720F8">
      <w:pPr>
        <w:spacing w:after="60" w:line="276" w:lineRule="auto"/>
        <w:rPr>
          <w:bCs/>
          <w:lang w:val="fr-FR"/>
        </w:rPr>
      </w:pPr>
      <w:r w:rsidRPr="000C09CB">
        <w:rPr>
          <w:bCs/>
          <w:lang w:val="fr-FR"/>
        </w:rPr>
        <w:t xml:space="preserve">1. D’après l’infographie, </w:t>
      </w:r>
      <w:r w:rsidR="00745B60">
        <w:rPr>
          <w:bCs/>
          <w:lang w:val="fr-FR"/>
        </w:rPr>
        <w:t>l’</w:t>
      </w:r>
      <w:r w:rsidRPr="000C09CB">
        <w:rPr>
          <w:bCs/>
          <w:lang w:val="fr-FR"/>
        </w:rPr>
        <w:t xml:space="preserve">extrême droite </w:t>
      </w:r>
      <w:r w:rsidR="00745B60">
        <w:rPr>
          <w:bCs/>
          <w:lang w:val="fr-FR"/>
        </w:rPr>
        <w:t xml:space="preserve">est une famille idéologique </w:t>
      </w:r>
      <w:r w:rsidR="00745B60" w:rsidRPr="00745B60">
        <w:rPr>
          <w:b/>
          <w:bCs/>
          <w:lang w:val="fr-FR"/>
        </w:rPr>
        <w:t>assez homogène</w:t>
      </w:r>
      <w:r w:rsidR="00745B60">
        <w:rPr>
          <w:bCs/>
          <w:lang w:val="fr-FR"/>
        </w:rPr>
        <w:t>.</w:t>
      </w:r>
    </w:p>
    <w:p w14:paraId="0E268E94" w14:textId="11483C90" w:rsidR="009720F8" w:rsidRPr="000C09CB" w:rsidRDefault="009720F8" w:rsidP="009720F8">
      <w:pPr>
        <w:spacing w:after="60" w:line="276" w:lineRule="auto"/>
        <w:rPr>
          <w:bCs/>
          <w:lang w:val="fr-FR"/>
        </w:rPr>
      </w:pPr>
      <w:r w:rsidRPr="000C09CB">
        <w:rPr>
          <w:bCs/>
          <w:lang w:val="fr-FR"/>
        </w:rPr>
        <w:t xml:space="preserve">2. </w:t>
      </w:r>
      <w:r w:rsidR="006700F5">
        <w:rPr>
          <w:bCs/>
          <w:lang w:val="fr-FR"/>
        </w:rPr>
        <w:t xml:space="preserve">Dans </w:t>
      </w:r>
      <w:r w:rsidRPr="000C09CB">
        <w:rPr>
          <w:bCs/>
          <w:lang w:val="fr-FR"/>
        </w:rPr>
        <w:t>les années</w:t>
      </w:r>
      <w:r w:rsidR="00AB47D1">
        <w:rPr>
          <w:bCs/>
          <w:lang w:val="fr-FR"/>
        </w:rPr>
        <w:t> </w:t>
      </w:r>
      <w:r w:rsidRPr="000C09CB">
        <w:rPr>
          <w:bCs/>
          <w:lang w:val="fr-FR"/>
        </w:rPr>
        <w:t>1990</w:t>
      </w:r>
      <w:r w:rsidR="006700F5">
        <w:rPr>
          <w:bCs/>
          <w:lang w:val="fr-FR"/>
        </w:rPr>
        <w:t xml:space="preserve">, l’extrême droite </w:t>
      </w:r>
      <w:r w:rsidR="00C661DF">
        <w:rPr>
          <w:bCs/>
          <w:lang w:val="fr-FR"/>
        </w:rPr>
        <w:t xml:space="preserve">fait de </w:t>
      </w:r>
      <w:r w:rsidR="00A51AA7" w:rsidRPr="00A51AA7">
        <w:rPr>
          <w:b/>
          <w:bCs/>
          <w:lang w:val="fr-FR"/>
        </w:rPr>
        <w:t>la lutte contre l’immigration</w:t>
      </w:r>
      <w:r w:rsidR="00C661DF">
        <w:rPr>
          <w:bCs/>
          <w:lang w:val="fr-FR"/>
        </w:rPr>
        <w:t xml:space="preserve"> un thème central</w:t>
      </w:r>
      <w:r w:rsidR="00A51AA7">
        <w:rPr>
          <w:bCs/>
          <w:lang w:val="fr-FR"/>
        </w:rPr>
        <w:t>.</w:t>
      </w:r>
    </w:p>
    <w:p w14:paraId="281584C7" w14:textId="4899AABC" w:rsidR="009720F8" w:rsidRDefault="009720F8" w:rsidP="009720F8">
      <w:pPr>
        <w:spacing w:after="60" w:line="276" w:lineRule="auto"/>
        <w:rPr>
          <w:bCs/>
          <w:lang w:val="fr-FR"/>
        </w:rPr>
      </w:pPr>
      <w:r w:rsidRPr="000C09CB">
        <w:rPr>
          <w:bCs/>
          <w:lang w:val="fr-FR"/>
        </w:rPr>
        <w:t xml:space="preserve">3. </w:t>
      </w:r>
      <w:r w:rsidR="008C31D0">
        <w:rPr>
          <w:bCs/>
          <w:lang w:val="fr-FR"/>
        </w:rPr>
        <w:t>Les</w:t>
      </w:r>
      <w:r w:rsidRPr="000C09CB">
        <w:rPr>
          <w:bCs/>
          <w:lang w:val="fr-FR"/>
        </w:rPr>
        <w:t xml:space="preserve"> partis national-populistes </w:t>
      </w:r>
      <w:r w:rsidR="008C31D0">
        <w:rPr>
          <w:bCs/>
          <w:lang w:val="fr-FR"/>
        </w:rPr>
        <w:t xml:space="preserve">sont </w:t>
      </w:r>
      <w:r w:rsidR="008C31D0" w:rsidRPr="008C31D0">
        <w:rPr>
          <w:b/>
          <w:bCs/>
          <w:lang w:val="fr-FR"/>
        </w:rPr>
        <w:t>contre l’Union européenne, l’Islam et la mondialisation</w:t>
      </w:r>
      <w:r w:rsidR="008C31D0">
        <w:rPr>
          <w:bCs/>
          <w:lang w:val="fr-FR"/>
        </w:rPr>
        <w:t>.</w:t>
      </w:r>
    </w:p>
    <w:p w14:paraId="4A37D95E" w14:textId="14AACE62" w:rsidR="00C110E8" w:rsidRDefault="00C110E8" w:rsidP="009720F8">
      <w:pPr>
        <w:spacing w:after="60" w:line="276" w:lineRule="auto"/>
        <w:rPr>
          <w:bCs/>
          <w:lang w:val="fr-FR"/>
        </w:rPr>
      </w:pPr>
      <w:r>
        <w:rPr>
          <w:bCs/>
          <w:lang w:val="fr-FR"/>
        </w:rPr>
        <w:t xml:space="preserve">4. </w:t>
      </w:r>
      <w:r w:rsidRPr="00C110E8">
        <w:rPr>
          <w:b/>
          <w:bCs/>
          <w:lang w:val="fr-FR"/>
        </w:rPr>
        <w:t>Tous les pays, même Malte et l’Irlande</w:t>
      </w:r>
      <w:r>
        <w:rPr>
          <w:bCs/>
          <w:lang w:val="fr-FR"/>
        </w:rPr>
        <w:t>, ont des représentants d’extrême droite dans leur parlement.</w:t>
      </w:r>
    </w:p>
    <w:p w14:paraId="3CB2C06E" w14:textId="143857C8" w:rsidR="009720F8" w:rsidRDefault="00623E81" w:rsidP="009720F8">
      <w:pPr>
        <w:spacing w:after="60" w:line="276" w:lineRule="auto"/>
        <w:rPr>
          <w:bCs/>
          <w:lang w:val="fr-FR"/>
        </w:rPr>
      </w:pPr>
      <w:r>
        <w:rPr>
          <w:bCs/>
          <w:lang w:val="fr-FR"/>
        </w:rPr>
        <w:t>5</w:t>
      </w:r>
      <w:r w:rsidR="009720F8" w:rsidRPr="000C09CB">
        <w:rPr>
          <w:bCs/>
          <w:lang w:val="fr-FR"/>
        </w:rPr>
        <w:t xml:space="preserve">. </w:t>
      </w:r>
      <w:bookmarkStart w:id="7" w:name="_Hlk199251543"/>
      <w:r w:rsidR="00166F60">
        <w:rPr>
          <w:bCs/>
          <w:lang w:val="fr-FR"/>
        </w:rPr>
        <w:t>L</w:t>
      </w:r>
      <w:r w:rsidR="009720F8" w:rsidRPr="000C09CB">
        <w:rPr>
          <w:bCs/>
          <w:lang w:val="fr-FR"/>
        </w:rPr>
        <w:t xml:space="preserve">’électorat de l’extrême droite et celui des droites conservatrices </w:t>
      </w:r>
      <w:r w:rsidR="00166F60" w:rsidRPr="00166F60">
        <w:rPr>
          <w:b/>
          <w:bCs/>
          <w:lang w:val="fr-FR"/>
        </w:rPr>
        <w:t xml:space="preserve">est </w:t>
      </w:r>
      <w:r w:rsidR="00D816E1">
        <w:rPr>
          <w:b/>
          <w:bCs/>
          <w:lang w:val="fr-FR"/>
        </w:rPr>
        <w:t>le même</w:t>
      </w:r>
      <w:r w:rsidR="00C316EA">
        <w:rPr>
          <w:b/>
          <w:bCs/>
          <w:lang w:val="fr-FR"/>
        </w:rPr>
        <w:t> : il est issu des milieux populaires</w:t>
      </w:r>
      <w:r w:rsidR="00166F60">
        <w:rPr>
          <w:bCs/>
          <w:lang w:val="fr-FR"/>
        </w:rPr>
        <w:t>.</w:t>
      </w:r>
      <w:bookmarkEnd w:id="7"/>
    </w:p>
    <w:p w14:paraId="4A221C1D" w14:textId="372F8F22" w:rsidR="00C316EA" w:rsidRDefault="00623E81" w:rsidP="009720F8">
      <w:pPr>
        <w:spacing w:after="60" w:line="276" w:lineRule="auto"/>
        <w:rPr>
          <w:bCs/>
          <w:lang w:val="fr-FR"/>
        </w:rPr>
      </w:pPr>
      <w:r>
        <w:rPr>
          <w:bCs/>
          <w:lang w:val="fr-FR"/>
        </w:rPr>
        <w:t>6</w:t>
      </w:r>
      <w:r w:rsidR="00C316EA">
        <w:rPr>
          <w:bCs/>
          <w:lang w:val="fr-FR"/>
        </w:rPr>
        <w:t xml:space="preserve">. </w:t>
      </w:r>
      <w:r w:rsidR="005E3708">
        <w:rPr>
          <w:bCs/>
          <w:lang w:val="fr-FR"/>
        </w:rPr>
        <w:t>Au</w:t>
      </w:r>
      <w:r w:rsidR="005C3797">
        <w:rPr>
          <w:bCs/>
          <w:lang w:val="fr-FR"/>
        </w:rPr>
        <w:t xml:space="preserve"> Parlement européen, </w:t>
      </w:r>
      <w:r w:rsidR="00AB47D1">
        <w:rPr>
          <w:b/>
          <w:bCs/>
          <w:lang w:val="fr-FR"/>
        </w:rPr>
        <w:t>1</w:t>
      </w:r>
      <w:r w:rsidR="005C3797" w:rsidRPr="005E3708">
        <w:rPr>
          <w:b/>
          <w:bCs/>
          <w:lang w:val="fr-FR"/>
        </w:rPr>
        <w:t xml:space="preserve">87 </w:t>
      </w:r>
      <w:r w:rsidR="005E3708" w:rsidRPr="005E3708">
        <w:rPr>
          <w:b/>
          <w:bCs/>
          <w:lang w:val="fr-FR"/>
        </w:rPr>
        <w:t>députés sur 720</w:t>
      </w:r>
      <w:r w:rsidR="005E3708">
        <w:rPr>
          <w:bCs/>
          <w:lang w:val="fr-FR"/>
        </w:rPr>
        <w:t xml:space="preserve"> appartiennent à trois groupes d’extrême droite.</w:t>
      </w:r>
    </w:p>
    <w:p w14:paraId="21ADDC90" w14:textId="77777777" w:rsidR="006C099B" w:rsidRDefault="006C099B" w:rsidP="0060678B">
      <w:pPr>
        <w:rPr>
          <w:b/>
          <w:lang w:val="fr-FR"/>
        </w:rPr>
      </w:pPr>
    </w:p>
    <w:p w14:paraId="651F3AA9" w14:textId="394865BE" w:rsidR="007473A8" w:rsidRDefault="00380E35" w:rsidP="0060678B">
      <w:pPr>
        <w:rPr>
          <w:b/>
          <w:lang w:val="fr-FR"/>
        </w:rPr>
      </w:pPr>
      <w:r>
        <w:rPr>
          <w:b/>
          <w:lang w:val="fr-FR"/>
        </w:rPr>
        <w:t>Activité</w:t>
      </w:r>
      <w:r w:rsidR="00AB47D1">
        <w:rPr>
          <w:b/>
          <w:lang w:val="fr-FR"/>
        </w:rPr>
        <w:t> </w:t>
      </w:r>
      <w:r>
        <w:rPr>
          <w:b/>
          <w:lang w:val="fr-FR"/>
        </w:rPr>
        <w:t>3 :</w:t>
      </w:r>
      <w:r w:rsidR="0060678B" w:rsidRPr="0060678B">
        <w:t xml:space="preserve"> </w:t>
      </w:r>
      <w:bookmarkStart w:id="8" w:name="_Hlk199224904"/>
      <w:r w:rsidR="0060678B">
        <w:rPr>
          <w:b/>
          <w:lang w:val="fr-FR"/>
        </w:rPr>
        <w:t>v</w:t>
      </w:r>
      <w:r w:rsidR="0060678B" w:rsidRPr="0060678B">
        <w:rPr>
          <w:b/>
          <w:lang w:val="fr-FR"/>
        </w:rPr>
        <w:t xml:space="preserve">ous travaillez pour une représentation permanente auprès de l’Union européenne. </w:t>
      </w:r>
      <w:r w:rsidR="00D0189C">
        <w:rPr>
          <w:b/>
          <w:lang w:val="fr-FR"/>
        </w:rPr>
        <w:t xml:space="preserve">Afin de préparer </w:t>
      </w:r>
      <w:r w:rsidR="0060678B" w:rsidRPr="0060678B">
        <w:rPr>
          <w:b/>
          <w:lang w:val="fr-FR"/>
        </w:rPr>
        <w:t>une réunion sur les mouvements politiques en Europe</w:t>
      </w:r>
      <w:r w:rsidR="00995536">
        <w:rPr>
          <w:b/>
          <w:lang w:val="fr-FR"/>
        </w:rPr>
        <w:t xml:space="preserve">, </w:t>
      </w:r>
      <w:r w:rsidR="0060678B" w:rsidRPr="0060678B">
        <w:rPr>
          <w:b/>
          <w:lang w:val="fr-FR"/>
        </w:rPr>
        <w:t xml:space="preserve">vous </w:t>
      </w:r>
      <w:r w:rsidR="00995536">
        <w:rPr>
          <w:b/>
          <w:lang w:val="fr-FR"/>
        </w:rPr>
        <w:t>créez</w:t>
      </w:r>
      <w:r w:rsidR="0060678B" w:rsidRPr="0060678B">
        <w:rPr>
          <w:b/>
          <w:lang w:val="fr-FR"/>
        </w:rPr>
        <w:t xml:space="preserve"> une fiche de synthèse</w:t>
      </w:r>
      <w:r w:rsidR="0060678B">
        <w:rPr>
          <w:b/>
          <w:lang w:val="fr-FR"/>
        </w:rPr>
        <w:t>.</w:t>
      </w:r>
      <w:r w:rsidR="003431A4">
        <w:rPr>
          <w:b/>
          <w:lang w:val="fr-FR"/>
        </w:rPr>
        <w:t xml:space="preserve"> Listez les informations essentielles à </w:t>
      </w:r>
      <w:r w:rsidR="0091764C">
        <w:rPr>
          <w:b/>
          <w:lang w:val="fr-FR"/>
        </w:rPr>
        <w:t>retenir</w:t>
      </w:r>
      <w:r w:rsidR="003431A4">
        <w:rPr>
          <w:b/>
          <w:lang w:val="fr-FR"/>
        </w:rPr>
        <w:t>.</w:t>
      </w:r>
      <w:bookmarkEnd w:id="8"/>
    </w:p>
    <w:p w14:paraId="314F4174" w14:textId="380200E2" w:rsidR="00C12E28" w:rsidRPr="008252A8" w:rsidRDefault="006F3EF1" w:rsidP="006F3EF1">
      <w:pPr>
        <w:jc w:val="center"/>
        <w:rPr>
          <w:lang w:val="fr-FR"/>
        </w:rPr>
      </w:pPr>
      <w:r w:rsidRPr="006F3EF1">
        <w:rPr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FE8A030" wp14:editId="7DAA4900">
                <wp:simplePos x="0" y="0"/>
                <wp:positionH relativeFrom="page">
                  <wp:align>center</wp:align>
                </wp:positionH>
                <wp:positionV relativeFrom="paragraph">
                  <wp:posOffset>157480</wp:posOffset>
                </wp:positionV>
                <wp:extent cx="4467225" cy="3423920"/>
                <wp:effectExtent l="0" t="0" r="28575" b="2413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7225" cy="3423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EA1A5C" w14:textId="618C3EBA" w:rsidR="006F3EF1" w:rsidRPr="00DD2211" w:rsidRDefault="006F3EF1" w:rsidP="006F3EF1">
                            <w:pPr>
                              <w:jc w:val="center"/>
                              <w:rPr>
                                <w:b/>
                                <w:bCs/>
                                <w:lang w:val="fr-FR"/>
                              </w:rPr>
                            </w:pPr>
                            <w:r w:rsidRPr="00DD2211">
                              <w:rPr>
                                <w:b/>
                                <w:bCs/>
                                <w:lang w:val="fr-FR"/>
                              </w:rPr>
                              <w:t>L’extrême droite dans l’Union européenne</w:t>
                            </w:r>
                          </w:p>
                          <w:p w14:paraId="69207B37" w14:textId="6396D283" w:rsidR="006F3EF1" w:rsidRPr="00DD2211" w:rsidRDefault="006F3EF1" w:rsidP="006F3EF1">
                            <w:pPr>
                              <w:rPr>
                                <w:b/>
                                <w:bCs/>
                                <w:lang w:val="fr-FR"/>
                              </w:rPr>
                            </w:pPr>
                          </w:p>
                          <w:p w14:paraId="025E6A97" w14:textId="427A68FA" w:rsidR="006F3EF1" w:rsidRPr="00DD2211" w:rsidRDefault="00F90D5A" w:rsidP="006F3EF1">
                            <w:pPr>
                              <w:rPr>
                                <w:lang w:val="fr-FR"/>
                              </w:rPr>
                            </w:pPr>
                            <w:r w:rsidRPr="00DD2211">
                              <w:rPr>
                                <w:lang w:val="fr-FR"/>
                              </w:rPr>
                              <w:t>Position politique</w:t>
                            </w:r>
                            <w:r w:rsidR="00AB47D1">
                              <w:rPr>
                                <w:lang w:val="fr-FR"/>
                              </w:rPr>
                              <w:t> </w:t>
                            </w:r>
                            <w:r w:rsidRPr="00DD2211">
                              <w:rPr>
                                <w:lang w:val="fr-FR"/>
                              </w:rPr>
                              <w:t xml:space="preserve">: </w:t>
                            </w:r>
                          </w:p>
                          <w:p w14:paraId="0C49A06C" w14:textId="77777777" w:rsidR="00F90D5A" w:rsidRPr="00DD2211" w:rsidRDefault="00F90D5A" w:rsidP="006F3EF1">
                            <w:pPr>
                              <w:rPr>
                                <w:lang w:val="fr-FR"/>
                              </w:rPr>
                            </w:pPr>
                          </w:p>
                          <w:p w14:paraId="2148B8F6" w14:textId="619454AA" w:rsidR="00F90D5A" w:rsidRPr="00DD2211" w:rsidRDefault="00F90D5A" w:rsidP="006F3EF1">
                            <w:pPr>
                              <w:rPr>
                                <w:lang w:val="fr-FR"/>
                              </w:rPr>
                            </w:pPr>
                            <w:r w:rsidRPr="00DD2211">
                              <w:rPr>
                                <w:lang w:val="fr-FR"/>
                              </w:rPr>
                              <w:t>Discours</w:t>
                            </w:r>
                            <w:r w:rsidR="00AB47D1">
                              <w:rPr>
                                <w:lang w:val="fr-FR"/>
                              </w:rPr>
                              <w:t>/</w:t>
                            </w:r>
                            <w:r w:rsidRPr="00DD2211">
                              <w:rPr>
                                <w:lang w:val="fr-FR"/>
                              </w:rPr>
                              <w:t>Stratégie</w:t>
                            </w:r>
                            <w:r w:rsidR="00D816E1">
                              <w:rPr>
                                <w:lang w:val="fr-FR"/>
                              </w:rPr>
                              <w:t> :</w:t>
                            </w:r>
                          </w:p>
                          <w:p w14:paraId="4779BF5A" w14:textId="77777777" w:rsidR="00F90D5A" w:rsidRPr="00DD2211" w:rsidRDefault="00F90D5A" w:rsidP="006F3EF1">
                            <w:pPr>
                              <w:rPr>
                                <w:lang w:val="fr-FR"/>
                              </w:rPr>
                            </w:pPr>
                          </w:p>
                          <w:p w14:paraId="5C89B708" w14:textId="1D227DB7" w:rsidR="00F90D5A" w:rsidRPr="00DD2211" w:rsidRDefault="00AB47D1" w:rsidP="006F3EF1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É</w:t>
                            </w:r>
                            <w:r w:rsidR="00DD2211" w:rsidRPr="00DD2211">
                              <w:rPr>
                                <w:lang w:val="fr-FR"/>
                              </w:rPr>
                              <w:t>lectorat</w:t>
                            </w:r>
                            <w:r>
                              <w:rPr>
                                <w:lang w:val="fr-FR"/>
                              </w:rPr>
                              <w:t> </w:t>
                            </w:r>
                            <w:r w:rsidR="00DD2211" w:rsidRPr="00DD2211">
                              <w:rPr>
                                <w:lang w:val="fr-FR"/>
                              </w:rPr>
                              <w:t>:</w:t>
                            </w:r>
                            <w:r w:rsidR="00B74F14">
                              <w:rPr>
                                <w:lang w:val="fr-FR"/>
                              </w:rPr>
                              <w:t xml:space="preserve"> </w:t>
                            </w:r>
                          </w:p>
                          <w:p w14:paraId="113856C2" w14:textId="77777777" w:rsidR="00DD2211" w:rsidRPr="00DD2211" w:rsidRDefault="00DD2211" w:rsidP="006F3EF1">
                            <w:pPr>
                              <w:rPr>
                                <w:lang w:val="fr-FR"/>
                              </w:rPr>
                            </w:pPr>
                          </w:p>
                          <w:p w14:paraId="7255A4D2" w14:textId="09C40DC3" w:rsidR="00DD2211" w:rsidRPr="00DD2211" w:rsidRDefault="00DD2211" w:rsidP="006F3EF1">
                            <w:pPr>
                              <w:rPr>
                                <w:lang w:val="fr-FR"/>
                              </w:rPr>
                            </w:pPr>
                            <w:r w:rsidRPr="00DD2211">
                              <w:rPr>
                                <w:lang w:val="fr-FR"/>
                              </w:rPr>
                              <w:t>Présence géographique et institutionnelle</w:t>
                            </w:r>
                            <w:r w:rsidR="00AB47D1">
                              <w:rPr>
                                <w:lang w:val="fr-FR"/>
                              </w:rPr>
                              <w:t> </w:t>
                            </w:r>
                            <w:r w:rsidRPr="00DD2211">
                              <w:rPr>
                                <w:lang w:val="fr-FR"/>
                              </w:rPr>
                              <w:t>:</w:t>
                            </w:r>
                          </w:p>
                          <w:p w14:paraId="088ECBCF" w14:textId="77777777" w:rsidR="00DD2211" w:rsidRPr="00DD2211" w:rsidRDefault="00DD2211" w:rsidP="006F3EF1">
                            <w:pPr>
                              <w:rPr>
                                <w:lang w:val="fr-FR"/>
                              </w:rPr>
                            </w:pPr>
                          </w:p>
                          <w:p w14:paraId="11B6899E" w14:textId="4DCBE722" w:rsidR="00DD2211" w:rsidRPr="00DD2211" w:rsidRDefault="00DD2211" w:rsidP="006F3EF1">
                            <w:pPr>
                              <w:rPr>
                                <w:lang w:val="fr-FR"/>
                              </w:rPr>
                            </w:pPr>
                            <w:r w:rsidRPr="00DD2211">
                              <w:rPr>
                                <w:lang w:val="fr-FR"/>
                              </w:rPr>
                              <w:t>Représentation européenne</w:t>
                            </w:r>
                            <w:r w:rsidR="00AB47D1">
                              <w:rPr>
                                <w:lang w:val="fr-FR"/>
                              </w:rPr>
                              <w:t> </w:t>
                            </w:r>
                            <w:r w:rsidRPr="00DD2211">
                              <w:rPr>
                                <w:lang w:val="fr-F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E8A030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0;margin-top:12.4pt;width:351.75pt;height:269.6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">
                <v:textbox>
                  <w:txbxContent>
                    <w:p w14:paraId="28EA1A5C" w14:textId="618C3EBA" w:rsidR="006F3EF1" w:rsidRPr="00DD2211" w:rsidRDefault="006F3EF1" w:rsidP="006F3EF1">
                      <w:pPr>
                        <w:jc w:val="center"/>
                        <w:rPr>
                          <w:b/>
                          <w:bCs/>
                          <w:lang w:val="fr-FR"/>
                        </w:rPr>
                      </w:pPr>
                      <w:r w:rsidRPr="00DD2211">
                        <w:rPr>
                          <w:b/>
                          <w:bCs/>
                          <w:lang w:val="fr-FR"/>
                        </w:rPr>
                        <w:t>L’extrême droite dans l’Union européenne</w:t>
                      </w:r>
                    </w:p>
                    <w:p w14:paraId="69207B37" w14:textId="6396D283" w:rsidR="006F3EF1" w:rsidRPr="00DD2211" w:rsidRDefault="006F3EF1" w:rsidP="006F3EF1">
                      <w:pPr>
                        <w:rPr>
                          <w:b/>
                          <w:bCs/>
                          <w:lang w:val="fr-FR"/>
                        </w:rPr>
                      </w:pPr>
                    </w:p>
                    <w:p w14:paraId="025E6A97" w14:textId="427A68FA" w:rsidR="006F3EF1" w:rsidRPr="00DD2211" w:rsidRDefault="00F90D5A" w:rsidP="006F3EF1">
                      <w:pPr>
                        <w:rPr>
                          <w:lang w:val="fr-FR"/>
                        </w:rPr>
                      </w:pPr>
                      <w:r w:rsidRPr="00DD2211">
                        <w:rPr>
                          <w:lang w:val="fr-FR"/>
                        </w:rPr>
                        <w:t>Position politique</w:t>
                      </w:r>
                      <w:r w:rsidR="00AB47D1">
                        <w:rPr>
                          <w:lang w:val="fr-FR"/>
                        </w:rPr>
                        <w:t> </w:t>
                      </w:r>
                      <w:r w:rsidRPr="00DD2211">
                        <w:rPr>
                          <w:lang w:val="fr-FR"/>
                        </w:rPr>
                        <w:t xml:space="preserve">: </w:t>
                      </w:r>
                    </w:p>
                    <w:p w14:paraId="0C49A06C" w14:textId="77777777" w:rsidR="00F90D5A" w:rsidRPr="00DD2211" w:rsidRDefault="00F90D5A" w:rsidP="006F3EF1">
                      <w:pPr>
                        <w:rPr>
                          <w:lang w:val="fr-FR"/>
                        </w:rPr>
                      </w:pPr>
                    </w:p>
                    <w:p w14:paraId="2148B8F6" w14:textId="619454AA" w:rsidR="00F90D5A" w:rsidRPr="00DD2211" w:rsidRDefault="00F90D5A" w:rsidP="006F3EF1">
                      <w:pPr>
                        <w:rPr>
                          <w:lang w:val="fr-FR"/>
                        </w:rPr>
                      </w:pPr>
                      <w:r w:rsidRPr="00DD2211">
                        <w:rPr>
                          <w:lang w:val="fr-FR"/>
                        </w:rPr>
                        <w:t>Discours</w:t>
                      </w:r>
                      <w:r w:rsidR="00AB47D1">
                        <w:rPr>
                          <w:lang w:val="fr-FR"/>
                        </w:rPr>
                        <w:t>/</w:t>
                      </w:r>
                      <w:r w:rsidRPr="00DD2211">
                        <w:rPr>
                          <w:lang w:val="fr-FR"/>
                        </w:rPr>
                        <w:t>Stratégie</w:t>
                      </w:r>
                      <w:r w:rsidR="00D816E1">
                        <w:rPr>
                          <w:lang w:val="fr-FR"/>
                        </w:rPr>
                        <w:t> :</w:t>
                      </w:r>
                    </w:p>
                    <w:p w14:paraId="4779BF5A" w14:textId="77777777" w:rsidR="00F90D5A" w:rsidRPr="00DD2211" w:rsidRDefault="00F90D5A" w:rsidP="006F3EF1">
                      <w:pPr>
                        <w:rPr>
                          <w:lang w:val="fr-FR"/>
                        </w:rPr>
                      </w:pPr>
                    </w:p>
                    <w:p w14:paraId="5C89B708" w14:textId="1D227DB7" w:rsidR="00F90D5A" w:rsidRPr="00DD2211" w:rsidRDefault="00AB47D1" w:rsidP="006F3EF1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É</w:t>
                      </w:r>
                      <w:r w:rsidR="00DD2211" w:rsidRPr="00DD2211">
                        <w:rPr>
                          <w:lang w:val="fr-FR"/>
                        </w:rPr>
                        <w:t>lectorat</w:t>
                      </w:r>
                      <w:r>
                        <w:rPr>
                          <w:lang w:val="fr-FR"/>
                        </w:rPr>
                        <w:t> </w:t>
                      </w:r>
                      <w:r w:rsidR="00DD2211" w:rsidRPr="00DD2211">
                        <w:rPr>
                          <w:lang w:val="fr-FR"/>
                        </w:rPr>
                        <w:t>:</w:t>
                      </w:r>
                      <w:r w:rsidR="00B74F14">
                        <w:rPr>
                          <w:lang w:val="fr-FR"/>
                        </w:rPr>
                        <w:t xml:space="preserve"> </w:t>
                      </w:r>
                    </w:p>
                    <w:p w14:paraId="113856C2" w14:textId="77777777" w:rsidR="00DD2211" w:rsidRPr="00DD2211" w:rsidRDefault="00DD2211" w:rsidP="006F3EF1">
                      <w:pPr>
                        <w:rPr>
                          <w:lang w:val="fr-FR"/>
                        </w:rPr>
                      </w:pPr>
                    </w:p>
                    <w:p w14:paraId="7255A4D2" w14:textId="09C40DC3" w:rsidR="00DD2211" w:rsidRPr="00DD2211" w:rsidRDefault="00DD2211" w:rsidP="006F3EF1">
                      <w:pPr>
                        <w:rPr>
                          <w:lang w:val="fr-FR"/>
                        </w:rPr>
                      </w:pPr>
                      <w:r w:rsidRPr="00DD2211">
                        <w:rPr>
                          <w:lang w:val="fr-FR"/>
                        </w:rPr>
                        <w:t>Présence géographique et institutionnelle</w:t>
                      </w:r>
                      <w:r w:rsidR="00AB47D1">
                        <w:rPr>
                          <w:lang w:val="fr-FR"/>
                        </w:rPr>
                        <w:t> </w:t>
                      </w:r>
                      <w:r w:rsidRPr="00DD2211">
                        <w:rPr>
                          <w:lang w:val="fr-FR"/>
                        </w:rPr>
                        <w:t>:</w:t>
                      </w:r>
                    </w:p>
                    <w:p w14:paraId="088ECBCF" w14:textId="77777777" w:rsidR="00DD2211" w:rsidRPr="00DD2211" w:rsidRDefault="00DD2211" w:rsidP="006F3EF1">
                      <w:pPr>
                        <w:rPr>
                          <w:lang w:val="fr-FR"/>
                        </w:rPr>
                      </w:pPr>
                    </w:p>
                    <w:p w14:paraId="11B6899E" w14:textId="4DCBE722" w:rsidR="00DD2211" w:rsidRPr="00DD2211" w:rsidRDefault="00DD2211" w:rsidP="006F3EF1">
                      <w:pPr>
                        <w:rPr>
                          <w:lang w:val="fr-FR"/>
                        </w:rPr>
                      </w:pPr>
                      <w:r w:rsidRPr="00DD2211">
                        <w:rPr>
                          <w:lang w:val="fr-FR"/>
                        </w:rPr>
                        <w:t>Représentation européenne</w:t>
                      </w:r>
                      <w:r w:rsidR="00AB47D1">
                        <w:rPr>
                          <w:lang w:val="fr-FR"/>
                        </w:rPr>
                        <w:t> </w:t>
                      </w:r>
                      <w:r w:rsidRPr="00DD2211">
                        <w:rPr>
                          <w:lang w:val="fr-FR"/>
                        </w:rPr>
                        <w:t>: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sectPr w:rsidR="00C12E28" w:rsidRPr="008252A8" w:rsidSect="00A33F16">
      <w:headerReference w:type="default" r:id="rId12"/>
      <w:footerReference w:type="default" r:id="rId13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D5D936" w14:textId="77777777" w:rsidR="00400DDA" w:rsidRDefault="00400DDA" w:rsidP="00A33F16">
      <w:pPr>
        <w:spacing w:after="0" w:line="240" w:lineRule="auto"/>
      </w:pPr>
      <w:r>
        <w:separator/>
      </w:r>
    </w:p>
  </w:endnote>
  <w:endnote w:type="continuationSeparator" w:id="0">
    <w:p w14:paraId="63A7199E" w14:textId="77777777" w:rsidR="00400DDA" w:rsidRDefault="00400DDA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31EE6EFC" w:rsidR="00A33F16" w:rsidRDefault="00432F59" w:rsidP="00432F59">
          <w:pPr>
            <w:pStyle w:val="Pieddepage"/>
          </w:pPr>
          <w:r>
            <w:t xml:space="preserve">Conception : </w:t>
          </w:r>
          <w:proofErr w:type="spellStart"/>
          <w:r w:rsidR="002226F6">
            <w:t>Abdelbassat</w:t>
          </w:r>
          <w:proofErr w:type="spellEnd"/>
          <w:r w:rsidR="002226F6">
            <w:t xml:space="preserve"> </w:t>
          </w:r>
          <w:proofErr w:type="spellStart"/>
          <w:r w:rsidR="002226F6">
            <w:t>Abdelbaki</w:t>
          </w:r>
          <w:proofErr w:type="spellEnd"/>
          <w:r w:rsidR="002226F6">
            <w:t>, CAVILAM – Alliance Française</w:t>
          </w:r>
        </w:p>
      </w:tc>
      <w:tc>
        <w:tcPr>
          <w:tcW w:w="735" w:type="pct"/>
        </w:tcPr>
        <w:p w14:paraId="3DEB97FE" w14:textId="58684E96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832448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FC6B71">
            <w:fldChar w:fldCharType="begin"/>
          </w:r>
          <w:r w:rsidR="00FC6B71">
            <w:instrText>NUMPAGES  \* Arabic  \* MERGEFORMAT</w:instrText>
          </w:r>
          <w:r w:rsidR="00FC6B71">
            <w:fldChar w:fldCharType="separate"/>
          </w:r>
          <w:r w:rsidR="00832448">
            <w:rPr>
              <w:noProof/>
            </w:rPr>
            <w:t>1</w:t>
          </w:r>
          <w:r w:rsidR="00FC6B71">
            <w:rPr>
              <w:noProof/>
            </w:rPr>
            <w:fldChar w:fldCharType="end"/>
          </w:r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E9D508" w14:textId="77777777" w:rsidR="00400DDA" w:rsidRDefault="00400DDA" w:rsidP="00A33F16">
      <w:pPr>
        <w:spacing w:after="0" w:line="240" w:lineRule="auto"/>
      </w:pPr>
      <w:r>
        <w:separator/>
      </w:r>
    </w:p>
  </w:footnote>
  <w:footnote w:type="continuationSeparator" w:id="0">
    <w:p w14:paraId="56896537" w14:textId="77777777" w:rsidR="00400DDA" w:rsidRDefault="00400DDA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24B6" w14:textId="19554542" w:rsidR="00A33F16" w:rsidRDefault="009C20C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2E1EEE2F" wp14:editId="7714F13E">
          <wp:extent cx="869400" cy="251999"/>
          <wp:effectExtent l="0" t="0" r="6985" b="0"/>
          <wp:docPr id="2109132807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132807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9400" cy="2519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05E1A">
      <w:rPr>
        <w:noProof/>
        <w:lang w:eastAsia="fr-FR"/>
      </w:rPr>
      <w:drawing>
        <wp:inline distT="0" distB="0" distL="0" distR="0" wp14:anchorId="0FDBB8B7" wp14:editId="16781F4B">
          <wp:extent cx="361950" cy="252730"/>
          <wp:effectExtent l="0" t="0" r="0" b="0"/>
          <wp:docPr id="6" name="Image 6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A0671">
      <w:rPr>
        <w:noProof/>
      </w:rPr>
      <w:drawing>
        <wp:inline distT="0" distB="0" distL="0" distR="0" wp14:anchorId="3AB29966" wp14:editId="515AB3F3">
          <wp:extent cx="2476500" cy="247650"/>
          <wp:effectExtent l="0" t="0" r="0" b="0"/>
          <wp:docPr id="1" name="Image 1" descr="entete-appre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ntete-apprenant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D097D">
      <w:rPr>
        <w:noProof/>
        <w:lang w:eastAsia="fr-FR"/>
      </w:rPr>
      <w:drawing>
        <wp:inline distT="0" distB="0" distL="0" distR="0" wp14:anchorId="0EA11F1B" wp14:editId="56330A4D">
          <wp:extent cx="688975" cy="252730"/>
          <wp:effectExtent l="0" t="0" r="0" b="0"/>
          <wp:docPr id="1767727747" name="Image 1767727747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 16780434" o:spid="_x0000_i1028" type="#_x0000_t75" style="width:33.75pt;height:33.75pt;visibility:visible;mso-wrap-style:square" o:bullet="t">
        <v:imagedata r:id="rId1" o:title="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3247B"/>
    <w:multiLevelType w:val="hybridMultilevel"/>
    <w:tmpl w:val="0974EED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1301F"/>
    <w:rsid w:val="00065FD9"/>
    <w:rsid w:val="00102E31"/>
    <w:rsid w:val="00125C2E"/>
    <w:rsid w:val="00166F60"/>
    <w:rsid w:val="00170476"/>
    <w:rsid w:val="00197E19"/>
    <w:rsid w:val="001B1A11"/>
    <w:rsid w:val="001C2E14"/>
    <w:rsid w:val="001F35AD"/>
    <w:rsid w:val="002226F6"/>
    <w:rsid w:val="00246EBE"/>
    <w:rsid w:val="002C3D43"/>
    <w:rsid w:val="002D7815"/>
    <w:rsid w:val="003431A4"/>
    <w:rsid w:val="00343B07"/>
    <w:rsid w:val="00380E35"/>
    <w:rsid w:val="0038176B"/>
    <w:rsid w:val="00400DDA"/>
    <w:rsid w:val="00423FB3"/>
    <w:rsid w:val="00432F59"/>
    <w:rsid w:val="00463E6E"/>
    <w:rsid w:val="00466415"/>
    <w:rsid w:val="004B6CA1"/>
    <w:rsid w:val="005259AC"/>
    <w:rsid w:val="005277D9"/>
    <w:rsid w:val="00532C8E"/>
    <w:rsid w:val="005451FB"/>
    <w:rsid w:val="0055599D"/>
    <w:rsid w:val="00582DB3"/>
    <w:rsid w:val="005C3797"/>
    <w:rsid w:val="005E3708"/>
    <w:rsid w:val="0060678B"/>
    <w:rsid w:val="00613DD8"/>
    <w:rsid w:val="00623E81"/>
    <w:rsid w:val="006462DA"/>
    <w:rsid w:val="006700F5"/>
    <w:rsid w:val="006A0671"/>
    <w:rsid w:val="006C099B"/>
    <w:rsid w:val="006D097D"/>
    <w:rsid w:val="006F3EF1"/>
    <w:rsid w:val="00704307"/>
    <w:rsid w:val="00712395"/>
    <w:rsid w:val="00713CFF"/>
    <w:rsid w:val="007179B3"/>
    <w:rsid w:val="0073255F"/>
    <w:rsid w:val="007348E1"/>
    <w:rsid w:val="007409A2"/>
    <w:rsid w:val="00745B60"/>
    <w:rsid w:val="007473A8"/>
    <w:rsid w:val="0075527F"/>
    <w:rsid w:val="007658D2"/>
    <w:rsid w:val="007F3EDA"/>
    <w:rsid w:val="00814102"/>
    <w:rsid w:val="008252A8"/>
    <w:rsid w:val="008264A8"/>
    <w:rsid w:val="00832448"/>
    <w:rsid w:val="00850DAE"/>
    <w:rsid w:val="008973D3"/>
    <w:rsid w:val="008C31D0"/>
    <w:rsid w:val="008F0904"/>
    <w:rsid w:val="008F6818"/>
    <w:rsid w:val="0091764C"/>
    <w:rsid w:val="00970EF2"/>
    <w:rsid w:val="009720F8"/>
    <w:rsid w:val="00995536"/>
    <w:rsid w:val="009A01E5"/>
    <w:rsid w:val="009C20CA"/>
    <w:rsid w:val="009E4D46"/>
    <w:rsid w:val="009F26F3"/>
    <w:rsid w:val="00A2370C"/>
    <w:rsid w:val="00A33F16"/>
    <w:rsid w:val="00A375F1"/>
    <w:rsid w:val="00A44DEB"/>
    <w:rsid w:val="00A51AA7"/>
    <w:rsid w:val="00A7556C"/>
    <w:rsid w:val="00A82129"/>
    <w:rsid w:val="00A94020"/>
    <w:rsid w:val="00AB47D1"/>
    <w:rsid w:val="00AC3867"/>
    <w:rsid w:val="00B41B69"/>
    <w:rsid w:val="00B67C10"/>
    <w:rsid w:val="00B74F14"/>
    <w:rsid w:val="00B764CA"/>
    <w:rsid w:val="00C05E1A"/>
    <w:rsid w:val="00C110E8"/>
    <w:rsid w:val="00C12E28"/>
    <w:rsid w:val="00C30E2F"/>
    <w:rsid w:val="00C316EA"/>
    <w:rsid w:val="00C661DF"/>
    <w:rsid w:val="00C92A5A"/>
    <w:rsid w:val="00CB1039"/>
    <w:rsid w:val="00CC1F67"/>
    <w:rsid w:val="00CE1B74"/>
    <w:rsid w:val="00CF3F95"/>
    <w:rsid w:val="00D0189C"/>
    <w:rsid w:val="00D101FD"/>
    <w:rsid w:val="00D60BBE"/>
    <w:rsid w:val="00D816E1"/>
    <w:rsid w:val="00D93A8A"/>
    <w:rsid w:val="00DD2211"/>
    <w:rsid w:val="00DD28E1"/>
    <w:rsid w:val="00E51A1E"/>
    <w:rsid w:val="00E6179B"/>
    <w:rsid w:val="00E7167B"/>
    <w:rsid w:val="00E856DE"/>
    <w:rsid w:val="00E93FFD"/>
    <w:rsid w:val="00EA2020"/>
    <w:rsid w:val="00EC238D"/>
    <w:rsid w:val="00ED6011"/>
    <w:rsid w:val="00EE2A6A"/>
    <w:rsid w:val="00F054D1"/>
    <w:rsid w:val="00F13671"/>
    <w:rsid w:val="00F25BA8"/>
    <w:rsid w:val="00F27D9C"/>
    <w:rsid w:val="00F71952"/>
    <w:rsid w:val="00F90D5A"/>
    <w:rsid w:val="00FB1FAF"/>
    <w:rsid w:val="00FC6B71"/>
    <w:rsid w:val="00FD3A9A"/>
    <w:rsid w:val="00FD4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29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4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bd5533-e20e-4253-b65c-0b148dde19f1">
      <Terms xmlns="http://schemas.microsoft.com/office/infopath/2007/PartnerControls"/>
    </lcf76f155ced4ddcb4097134ff3c332f>
    <TaxCatchAll xmlns="ebcf0d14-2403-4101-9254-c7c7ade20f45" xsi:nil="true"/>
    <Th_x00e8_mes xmlns="a7bd5533-e20e-4253-b65c-0b148dde19f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19" ma:contentTypeDescription="Crée un document." ma:contentTypeScope="" ma:versionID="a119c79a1061544492f585d665fb80ea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21eb4fd291e9ead35c570745557eb5b7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Th_x00e8_m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_x00e8_mes" ma:index="26" nillable="true" ma:displayName="Thèmes" ma:format="Dropdown" ma:internalName="Th_x00e8_me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Général"/>
                        <xsd:enumeration value="Enfants"/>
                        <xsd:enumeration value="Ados"/>
                        <xsd:enumeration value="Appli"/>
                        <xsd:enumeration value="En classe"/>
                        <xsd:enumeration value="Développement durable"/>
                        <xsd:enumeration value="Voc"/>
                        <xsd:enumeration value="Francophonie"/>
                        <xsd:enumeration value="Choix 9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54272C-A22D-433E-83D6-E51AE3092943}">
  <ds:schemaRefs>
    <ds:schemaRef ds:uri="ebcf0d14-2403-4101-9254-c7c7ade20f45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  <ds:schemaRef ds:uri="http://purl.org/dc/dcmitype/"/>
    <ds:schemaRef ds:uri="a7bd5533-e20e-4253-b65c-0b148dde19f1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5B6BCD-49BC-4043-B0FA-8BCB29EF61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BD2946-50F3-4E93-8A0D-846CF6FD2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d5533-e20e-4253-b65c-0b148dde19f1"/>
    <ds:schemaRef ds:uri="ebcf0d14-2403-4101-9254-c7c7ade20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237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Frederique TREFFANDIER</cp:lastModifiedBy>
  <cp:revision>53</cp:revision>
  <cp:lastPrinted>2025-05-30T08:16:00Z</cp:lastPrinted>
  <dcterms:created xsi:type="dcterms:W3CDTF">2025-05-26T15:05:00Z</dcterms:created>
  <dcterms:modified xsi:type="dcterms:W3CDTF">2025-05-30T08:44:00Z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  <property fmtid="{D5CDD505-2E9C-101B-9397-08002B2CF9AE}" pid="3" name="MediaServiceImageTags">
    <vt:lpwstr/>
  </property>
</Properties>
</file>