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A6A1D" w14:textId="77777777" w:rsidR="00471AE3" w:rsidRPr="00536D03" w:rsidRDefault="00471AE3" w:rsidP="00471AE3">
      <w:pPr>
        <w:pBdr>
          <w:bottom w:val="single" w:sz="24" w:space="1" w:color="3D5BA3" w:themeColor="accent1"/>
        </w:pBdr>
        <w:spacing w:after="0" w:line="240" w:lineRule="auto"/>
        <w:contextualSpacing/>
        <w:rPr>
          <w:rFonts w:eastAsiaTheme="majorEastAsia" w:cs="Arial"/>
          <w:b/>
          <w:color w:val="3D5BA3" w:themeColor="accent1"/>
          <w:spacing w:val="-10"/>
          <w:kern w:val="28"/>
          <w:sz w:val="32"/>
          <w:szCs w:val="56"/>
          <w:lang w:val="fr-FR"/>
        </w:rPr>
      </w:pPr>
      <w:r w:rsidRPr="00536D03">
        <w:rPr>
          <w:rFonts w:eastAsiaTheme="majorEastAsia" w:cs="Arial"/>
          <w:b/>
          <w:color w:val="3D5BA3" w:themeColor="accent1"/>
          <w:spacing w:val="-10"/>
          <w:kern w:val="28"/>
          <w:sz w:val="32"/>
          <w:szCs w:val="56"/>
          <w:lang w:val="fr-FR"/>
        </w:rPr>
        <w:t>L’espace, entre concurrence et coopération</w:t>
      </w:r>
    </w:p>
    <w:p w14:paraId="7DA998E5" w14:textId="77777777" w:rsidR="00D101FD" w:rsidRPr="00536D03" w:rsidRDefault="00D101FD" w:rsidP="00532C8E">
      <w:pPr>
        <w:rPr>
          <w:b/>
          <w:lang w:val="fr-FR"/>
        </w:rPr>
      </w:pPr>
    </w:p>
    <w:p w14:paraId="17DA62AD" w14:textId="5FAB1FF4" w:rsidR="00753C09" w:rsidRPr="00536D03" w:rsidRDefault="00753C09" w:rsidP="003B630C">
      <w:pPr>
        <w:jc w:val="both"/>
        <w:rPr>
          <w:b/>
          <w:lang w:val="fr-FR"/>
        </w:rPr>
      </w:pPr>
      <w:r w:rsidRPr="00536D03">
        <w:rPr>
          <w:b/>
          <w:lang w:val="fr-FR"/>
        </w:rPr>
        <w:t>Activité 1 :</w:t>
      </w:r>
    </w:p>
    <w:p w14:paraId="2C8CAF7E" w14:textId="2CABD0E3" w:rsidR="00734390" w:rsidRDefault="00471AE3" w:rsidP="007C6822">
      <w:pPr>
        <w:spacing w:after="0"/>
        <w:jc w:val="both"/>
        <w:rPr>
          <w:lang w:val="fr-FR"/>
        </w:rPr>
      </w:pPr>
      <w:r w:rsidRPr="00794DD2">
        <w:rPr>
          <w:lang w:val="fr-FR"/>
        </w:rPr>
        <w:t xml:space="preserve">La </w:t>
      </w:r>
      <w:r w:rsidRPr="00794DD2">
        <w:rPr>
          <w:b/>
          <w:bCs/>
          <w:lang w:val="fr-FR"/>
        </w:rPr>
        <w:t>station spatiale internationale</w:t>
      </w:r>
      <w:r w:rsidRPr="00794DD2">
        <w:rPr>
          <w:lang w:val="fr-FR"/>
        </w:rPr>
        <w:t xml:space="preserve"> ou SSI (ISS en anglais) est un engin spatial </w:t>
      </w:r>
      <w:r w:rsidR="00794DD2" w:rsidRPr="00794DD2">
        <w:rPr>
          <w:lang w:val="fr-FR"/>
        </w:rPr>
        <w:t xml:space="preserve">dédié </w:t>
      </w:r>
      <w:r w:rsidR="00794DD2" w:rsidRPr="0000661C">
        <w:rPr>
          <w:lang w:val="fr-FR"/>
        </w:rPr>
        <w:t>à la recherche</w:t>
      </w:r>
      <w:r w:rsidR="00794DD2" w:rsidRPr="00761F2C">
        <w:rPr>
          <w:b/>
          <w:bCs/>
          <w:lang w:val="fr-FR"/>
        </w:rPr>
        <w:t xml:space="preserve"> scientifique</w:t>
      </w:r>
      <w:r w:rsidR="004C65D8">
        <w:rPr>
          <w:lang w:val="fr-FR"/>
        </w:rPr>
        <w:t xml:space="preserve"> et</w:t>
      </w:r>
      <w:r w:rsidR="00794DD2" w:rsidRPr="00794DD2">
        <w:rPr>
          <w:lang w:val="fr-FR"/>
        </w:rPr>
        <w:t xml:space="preserve"> </w:t>
      </w:r>
      <w:r w:rsidRPr="00794DD2">
        <w:rPr>
          <w:lang w:val="fr-FR"/>
        </w:rPr>
        <w:t xml:space="preserve">placé en orbite autour de </w:t>
      </w:r>
      <w:r w:rsidRPr="00761F2C">
        <w:rPr>
          <w:lang w:val="fr-FR"/>
        </w:rPr>
        <w:t>la Terre</w:t>
      </w:r>
      <w:r w:rsidR="00794DD2">
        <w:rPr>
          <w:lang w:val="fr-FR"/>
        </w:rPr>
        <w:t>.</w:t>
      </w:r>
      <w:r w:rsidR="00794DD2" w:rsidRPr="00794DD2">
        <w:rPr>
          <w:lang w:val="fr-FR"/>
        </w:rPr>
        <w:t xml:space="preserve"> On parle de station spatiale internationale car les agences spatiales des </w:t>
      </w:r>
      <w:r w:rsidR="00794DD2" w:rsidRPr="00794DD2">
        <w:rPr>
          <w:rFonts w:cs="Tahoma"/>
          <w:lang w:val="fr-FR"/>
        </w:rPr>
        <w:t>É</w:t>
      </w:r>
      <w:r w:rsidR="00794DD2" w:rsidRPr="00794DD2">
        <w:rPr>
          <w:lang w:val="fr-FR"/>
        </w:rPr>
        <w:t xml:space="preserve">tats-Unis, </w:t>
      </w:r>
      <w:r w:rsidR="00794DD2" w:rsidRPr="0000661C">
        <w:rPr>
          <w:lang w:val="fr-FR"/>
        </w:rPr>
        <w:t>de la Russie,</w:t>
      </w:r>
      <w:r w:rsidR="00794DD2" w:rsidRPr="00794DD2">
        <w:rPr>
          <w:lang w:val="fr-FR"/>
        </w:rPr>
        <w:t xml:space="preserve"> de l’Union européenne, du Canada et </w:t>
      </w:r>
      <w:r w:rsidR="00794DD2" w:rsidRPr="00761F2C">
        <w:rPr>
          <w:b/>
          <w:bCs/>
          <w:lang w:val="fr-FR"/>
        </w:rPr>
        <w:t>du Japon</w:t>
      </w:r>
      <w:r w:rsidR="00794DD2" w:rsidRPr="00794DD2">
        <w:rPr>
          <w:lang w:val="fr-FR"/>
        </w:rPr>
        <w:t xml:space="preserve"> ont coopéré à sa construction.</w:t>
      </w:r>
      <w:r w:rsidR="00794DD2">
        <w:rPr>
          <w:lang w:val="fr-FR"/>
        </w:rPr>
        <w:t xml:space="preserve"> </w:t>
      </w:r>
      <w:r w:rsidR="007C6822">
        <w:rPr>
          <w:lang w:val="fr-FR"/>
        </w:rPr>
        <w:t xml:space="preserve">Son assemblage a duré 13 ans, de 1998 à 2011. </w:t>
      </w:r>
      <w:r w:rsidR="007C6822" w:rsidRPr="00794DD2">
        <w:rPr>
          <w:lang w:val="fr-FR"/>
        </w:rPr>
        <w:t>L’ISS présente des dimensions proches de celles d’un terrain de football</w:t>
      </w:r>
      <w:r w:rsidR="004C65D8">
        <w:rPr>
          <w:lang w:val="fr-FR"/>
        </w:rPr>
        <w:t> :</w:t>
      </w:r>
      <w:r w:rsidR="007C6822" w:rsidRPr="00794DD2">
        <w:rPr>
          <w:lang w:val="fr-FR"/>
        </w:rPr>
        <w:t xml:space="preserve"> </w:t>
      </w:r>
      <w:r w:rsidR="007C6822" w:rsidRPr="00761F2C">
        <w:rPr>
          <w:b/>
          <w:bCs/>
          <w:lang w:val="fr-FR"/>
        </w:rPr>
        <w:t xml:space="preserve">110 </w:t>
      </w:r>
      <w:r w:rsidR="00761F2C" w:rsidRPr="00761F2C">
        <w:rPr>
          <w:b/>
          <w:bCs/>
          <w:lang w:val="fr-FR"/>
        </w:rPr>
        <w:t>mètres</w:t>
      </w:r>
      <w:r w:rsidR="00761F2C">
        <w:rPr>
          <w:lang w:val="fr-FR"/>
        </w:rPr>
        <w:t xml:space="preserve"> </w:t>
      </w:r>
      <w:r w:rsidR="007C6822" w:rsidRPr="00794DD2">
        <w:rPr>
          <w:lang w:val="fr-FR"/>
        </w:rPr>
        <w:t xml:space="preserve">de long sur 74 mètres de large. </w:t>
      </w:r>
      <w:r w:rsidR="007C6822">
        <w:rPr>
          <w:lang w:val="fr-FR"/>
        </w:rPr>
        <w:t xml:space="preserve">Elle fait le tour de la Terre en </w:t>
      </w:r>
      <w:r w:rsidR="007C6822" w:rsidRPr="00761F2C">
        <w:rPr>
          <w:b/>
          <w:bCs/>
          <w:lang w:val="fr-FR"/>
        </w:rPr>
        <w:t>90 minutes</w:t>
      </w:r>
      <w:r w:rsidR="007C6822">
        <w:rPr>
          <w:lang w:val="fr-FR"/>
        </w:rPr>
        <w:t xml:space="preserve">, soit 7 fois par jour. </w:t>
      </w:r>
      <w:r w:rsidRPr="00794DD2">
        <w:rPr>
          <w:lang w:val="fr-FR"/>
        </w:rPr>
        <w:t xml:space="preserve">Elle se compose d’une quinzaine de modules et fonctionne grâce à l’énergie solaire. </w:t>
      </w:r>
      <w:r w:rsidR="007C6822">
        <w:rPr>
          <w:lang w:val="fr-FR"/>
        </w:rPr>
        <w:t xml:space="preserve">La station est occupée en permanence depuis novembre </w:t>
      </w:r>
      <w:r w:rsidRPr="00761F2C">
        <w:rPr>
          <w:b/>
          <w:bCs/>
          <w:lang w:val="fr-FR"/>
        </w:rPr>
        <w:t>2000</w:t>
      </w:r>
      <w:r w:rsidR="00734390">
        <w:rPr>
          <w:lang w:val="fr-FR"/>
        </w:rPr>
        <w:t>. Depuis 2009, l</w:t>
      </w:r>
      <w:r w:rsidR="007C6822">
        <w:rPr>
          <w:lang w:val="fr-FR"/>
        </w:rPr>
        <w:t xml:space="preserve">’équipage se compose de </w:t>
      </w:r>
      <w:r w:rsidR="007C6822" w:rsidRPr="00761F2C">
        <w:rPr>
          <w:b/>
          <w:bCs/>
          <w:lang w:val="fr-FR"/>
        </w:rPr>
        <w:t>6</w:t>
      </w:r>
      <w:r w:rsidRPr="00794DD2">
        <w:rPr>
          <w:lang w:val="fr-FR"/>
        </w:rPr>
        <w:t xml:space="preserve"> astronautes</w:t>
      </w:r>
      <w:r w:rsidR="00734390" w:rsidRPr="00734390">
        <w:rPr>
          <w:lang w:val="fr-FR"/>
        </w:rPr>
        <w:t xml:space="preserve"> </w:t>
      </w:r>
      <w:r w:rsidR="00734390" w:rsidRPr="00794DD2">
        <w:rPr>
          <w:lang w:val="fr-FR"/>
        </w:rPr>
        <w:t xml:space="preserve">qui se relaient </w:t>
      </w:r>
      <w:r w:rsidR="00734390">
        <w:rPr>
          <w:lang w:val="fr-FR"/>
        </w:rPr>
        <w:t>tous les 6</w:t>
      </w:r>
      <w:r w:rsidR="00734390" w:rsidRPr="00794DD2">
        <w:rPr>
          <w:lang w:val="fr-FR"/>
        </w:rPr>
        <w:t xml:space="preserve"> mois</w:t>
      </w:r>
      <w:r w:rsidR="007C6822">
        <w:rPr>
          <w:lang w:val="fr-FR"/>
        </w:rPr>
        <w:t xml:space="preserve">, </w:t>
      </w:r>
      <w:r w:rsidR="00734390">
        <w:rPr>
          <w:lang w:val="fr-FR"/>
        </w:rPr>
        <w:t>avec la présence systématique</w:t>
      </w:r>
      <w:r w:rsidR="007C6822">
        <w:rPr>
          <w:lang w:val="fr-FR"/>
        </w:rPr>
        <w:t xml:space="preserve"> </w:t>
      </w:r>
      <w:r w:rsidR="00734390">
        <w:rPr>
          <w:lang w:val="fr-FR"/>
        </w:rPr>
        <w:t>des Américains et des Russes</w:t>
      </w:r>
      <w:r w:rsidRPr="00794DD2">
        <w:rPr>
          <w:lang w:val="fr-FR"/>
        </w:rPr>
        <w:t xml:space="preserve">. Ils y réalisent des expériences scientifiques </w:t>
      </w:r>
      <w:r w:rsidR="00734390">
        <w:rPr>
          <w:lang w:val="fr-FR"/>
        </w:rPr>
        <w:t xml:space="preserve">et technologiques </w:t>
      </w:r>
      <w:r w:rsidRPr="00794DD2">
        <w:rPr>
          <w:lang w:val="fr-FR"/>
        </w:rPr>
        <w:t xml:space="preserve">dans les domaines de la </w:t>
      </w:r>
      <w:r w:rsidR="00734390">
        <w:rPr>
          <w:lang w:val="fr-FR"/>
        </w:rPr>
        <w:t xml:space="preserve">physiologie, </w:t>
      </w:r>
      <w:r w:rsidR="00761F2C">
        <w:rPr>
          <w:lang w:val="fr-FR"/>
        </w:rPr>
        <w:t xml:space="preserve">de la </w:t>
      </w:r>
      <w:r w:rsidRPr="00794DD2">
        <w:rPr>
          <w:lang w:val="fr-FR"/>
        </w:rPr>
        <w:t>biologie</w:t>
      </w:r>
      <w:r w:rsidR="00734390">
        <w:rPr>
          <w:lang w:val="fr-FR"/>
        </w:rPr>
        <w:t xml:space="preserve">, </w:t>
      </w:r>
      <w:r w:rsidR="00761F2C">
        <w:rPr>
          <w:lang w:val="fr-FR"/>
        </w:rPr>
        <w:t xml:space="preserve">de la </w:t>
      </w:r>
      <w:r w:rsidR="00734390">
        <w:rPr>
          <w:lang w:val="fr-FR"/>
        </w:rPr>
        <w:t xml:space="preserve">technologie, </w:t>
      </w:r>
      <w:r w:rsidR="00761F2C">
        <w:rPr>
          <w:lang w:val="fr-FR"/>
        </w:rPr>
        <w:t xml:space="preserve">de la </w:t>
      </w:r>
      <w:r w:rsidR="00734390">
        <w:rPr>
          <w:lang w:val="fr-FR"/>
        </w:rPr>
        <w:t>physique des fluides</w:t>
      </w:r>
      <w:r w:rsidRPr="00794DD2">
        <w:rPr>
          <w:lang w:val="fr-FR"/>
        </w:rPr>
        <w:t xml:space="preserve"> et </w:t>
      </w:r>
      <w:r w:rsidR="00761F2C">
        <w:rPr>
          <w:lang w:val="fr-FR"/>
        </w:rPr>
        <w:t xml:space="preserve">de </w:t>
      </w:r>
      <w:r w:rsidR="00761F2C" w:rsidRPr="0000661C">
        <w:rPr>
          <w:b/>
          <w:bCs/>
          <w:lang w:val="fr-FR"/>
        </w:rPr>
        <w:t xml:space="preserve">la </w:t>
      </w:r>
      <w:r w:rsidRPr="0000661C">
        <w:rPr>
          <w:b/>
          <w:bCs/>
          <w:lang w:val="fr-FR"/>
        </w:rPr>
        <w:t>science des matériaux</w:t>
      </w:r>
      <w:r w:rsidRPr="00794DD2">
        <w:rPr>
          <w:lang w:val="fr-FR"/>
        </w:rPr>
        <w:t xml:space="preserve">. </w:t>
      </w:r>
      <w:r w:rsidR="00734390">
        <w:rPr>
          <w:lang w:val="fr-FR"/>
        </w:rPr>
        <w:t xml:space="preserve">Quand ils ne travaillent pas, les astronautes vivent normalement à bord de l’ISS mais doivent faire </w:t>
      </w:r>
      <w:r w:rsidR="00734390" w:rsidRPr="00761F2C">
        <w:rPr>
          <w:b/>
          <w:bCs/>
          <w:lang w:val="fr-FR"/>
        </w:rPr>
        <w:t>deux heures</w:t>
      </w:r>
      <w:r w:rsidR="00734390">
        <w:rPr>
          <w:lang w:val="fr-FR"/>
        </w:rPr>
        <w:t xml:space="preserve"> de sport quotidiennes pour prévenir les effets de l’apesanteur sur leur corps. </w:t>
      </w:r>
      <w:r w:rsidR="004C65D8">
        <w:rPr>
          <w:rFonts w:cs="Tahoma"/>
          <w:lang w:val="fr-FR"/>
        </w:rPr>
        <w:t>À</w:t>
      </w:r>
      <w:r w:rsidR="004C65D8">
        <w:rPr>
          <w:lang w:val="fr-FR"/>
        </w:rPr>
        <w:t xml:space="preserve"> partir du travail effectué sur l’ISS, les scientifiques préparent l’exploration habitée de la planète </w:t>
      </w:r>
      <w:r w:rsidR="004C65D8" w:rsidRPr="00761F2C">
        <w:rPr>
          <w:b/>
          <w:bCs/>
          <w:lang w:val="fr-FR"/>
        </w:rPr>
        <w:t>Mars</w:t>
      </w:r>
      <w:r w:rsidR="004C65D8">
        <w:rPr>
          <w:lang w:val="fr-FR"/>
        </w:rPr>
        <w:t xml:space="preserve">. Ce projet reste encore incertain car le trajet aller-retour est estimé entre </w:t>
      </w:r>
      <w:r w:rsidR="004C65D8" w:rsidRPr="00761F2C">
        <w:rPr>
          <w:b/>
          <w:bCs/>
          <w:lang w:val="fr-FR"/>
        </w:rPr>
        <w:t>2 et 3 ans</w:t>
      </w:r>
      <w:r w:rsidR="004C65D8">
        <w:rPr>
          <w:lang w:val="fr-FR"/>
        </w:rPr>
        <w:t xml:space="preserve"> et la température moyenne sur Mars avoisine les </w:t>
      </w:r>
      <w:r w:rsidR="004C65D8" w:rsidRPr="00761F2C">
        <w:rPr>
          <w:b/>
          <w:bCs/>
          <w:lang w:val="fr-FR"/>
        </w:rPr>
        <w:t>moins 63 degrés</w:t>
      </w:r>
      <w:r w:rsidR="004C65D8">
        <w:rPr>
          <w:lang w:val="fr-FR"/>
        </w:rPr>
        <w:t>.</w:t>
      </w:r>
    </w:p>
    <w:p w14:paraId="3F144344" w14:textId="77777777" w:rsidR="00753C09" w:rsidRPr="00536D03" w:rsidRDefault="00753C09" w:rsidP="003B630C">
      <w:pPr>
        <w:jc w:val="both"/>
        <w:rPr>
          <w:bCs/>
          <w:lang w:val="fr-FR"/>
        </w:rPr>
      </w:pPr>
    </w:p>
    <w:p w14:paraId="0F4AEE11" w14:textId="3F96D0F0" w:rsidR="00E26979" w:rsidRPr="00536D03" w:rsidRDefault="00E26979" w:rsidP="003B630C">
      <w:pPr>
        <w:jc w:val="both"/>
        <w:rPr>
          <w:b/>
          <w:lang w:val="fr-FR"/>
        </w:rPr>
      </w:pPr>
      <w:r w:rsidRPr="00536D03">
        <w:rPr>
          <w:b/>
          <w:lang w:val="fr-FR"/>
        </w:rPr>
        <w:t xml:space="preserve">Activité </w:t>
      </w:r>
      <w:r w:rsidR="00F0433F" w:rsidRPr="00536D03">
        <w:rPr>
          <w:b/>
          <w:lang w:val="fr-FR"/>
        </w:rPr>
        <w:t>2</w:t>
      </w:r>
      <w:r w:rsidRPr="00536D03">
        <w:rPr>
          <w:b/>
          <w:lang w:val="fr-FR"/>
        </w:rPr>
        <w:t xml:space="preserve"> : </w:t>
      </w:r>
    </w:p>
    <w:p w14:paraId="2C0EAD94" w14:textId="3DF5687D" w:rsidR="00471AE3" w:rsidRPr="00536D03" w:rsidRDefault="00471AE3" w:rsidP="00536D03">
      <w:pPr>
        <w:spacing w:after="0"/>
        <w:jc w:val="both"/>
        <w:rPr>
          <w:lang w:val="fr-FR"/>
        </w:rPr>
      </w:pPr>
      <w:r w:rsidRPr="00536D03">
        <w:rPr>
          <w:lang w:val="fr-FR"/>
        </w:rPr>
        <w:sym w:font="Wingdings" w:char="F0FE"/>
      </w:r>
      <w:r w:rsidRPr="00536D03">
        <w:rPr>
          <w:lang w:val="fr-FR"/>
        </w:rPr>
        <w:t xml:space="preserve"> </w:t>
      </w:r>
      <w:r w:rsidR="00536D03" w:rsidRPr="00C8261E">
        <w:rPr>
          <w:lang w:val="fr-FR"/>
        </w:rPr>
        <w:t>L’</w:t>
      </w:r>
      <w:r w:rsidR="00536D03" w:rsidRPr="00536D03">
        <w:rPr>
          <w:lang w:val="fr-FR"/>
        </w:rPr>
        <w:t>émergence de la Chine en tant que puissance spatiale.</w:t>
      </w:r>
    </w:p>
    <w:p w14:paraId="4A25C9D3" w14:textId="5B293C63" w:rsidR="00471AE3" w:rsidRPr="00536D03" w:rsidRDefault="00471AE3" w:rsidP="00536D03">
      <w:pPr>
        <w:spacing w:after="0"/>
        <w:jc w:val="both"/>
        <w:rPr>
          <w:lang w:val="fr-FR"/>
        </w:rPr>
      </w:pPr>
      <w:r w:rsidRPr="00536D03">
        <w:rPr>
          <w:lang w:val="fr-FR"/>
        </w:rPr>
        <w:sym w:font="Wingdings" w:char="F0FE"/>
      </w:r>
      <w:r w:rsidRPr="00536D03">
        <w:rPr>
          <w:lang w:val="fr-FR"/>
        </w:rPr>
        <w:t xml:space="preserve"> </w:t>
      </w:r>
      <w:r w:rsidR="00536D03" w:rsidRPr="00C8261E">
        <w:rPr>
          <w:lang w:val="fr-FR"/>
        </w:rPr>
        <w:t>La dimension géopolitique des programmes spatiaux.</w:t>
      </w:r>
    </w:p>
    <w:p w14:paraId="53E26052" w14:textId="77777777" w:rsidR="00536D03" w:rsidRPr="00536D03" w:rsidRDefault="00471AE3" w:rsidP="00536D03">
      <w:pPr>
        <w:spacing w:after="0"/>
        <w:jc w:val="both"/>
        <w:rPr>
          <w:lang w:val="fr-FR"/>
        </w:rPr>
      </w:pPr>
      <w:r w:rsidRPr="00536D03">
        <w:rPr>
          <w:lang w:val="fr-FR"/>
        </w:rPr>
        <w:sym w:font="Wingdings" w:char="F0FE"/>
      </w:r>
      <w:r w:rsidRPr="00536D03">
        <w:rPr>
          <w:lang w:val="fr-FR"/>
        </w:rPr>
        <w:t xml:space="preserve"> </w:t>
      </w:r>
      <w:bookmarkStart w:id="0" w:name="_Hlk149757067"/>
      <w:r w:rsidR="00536D03" w:rsidRPr="00C8261E">
        <w:rPr>
          <w:lang w:val="fr-FR"/>
        </w:rPr>
        <w:t>Les budgets des différents agences spatiales dans le monde.</w:t>
      </w:r>
    </w:p>
    <w:bookmarkEnd w:id="0"/>
    <w:p w14:paraId="707F4A10" w14:textId="1E01E701" w:rsidR="00471AE3" w:rsidRPr="00536D03" w:rsidRDefault="00471AE3" w:rsidP="00536D03">
      <w:pPr>
        <w:spacing w:after="0"/>
        <w:jc w:val="both"/>
        <w:rPr>
          <w:lang w:val="fr-FR"/>
        </w:rPr>
      </w:pPr>
      <w:r w:rsidRPr="00536D03">
        <w:rPr>
          <w:lang w:val="fr-FR"/>
        </w:rPr>
        <w:sym w:font="Wingdings" w:char="F0FE"/>
      </w:r>
      <w:r w:rsidRPr="00536D03">
        <w:rPr>
          <w:lang w:val="fr-FR"/>
        </w:rPr>
        <w:t xml:space="preserve"> </w:t>
      </w:r>
      <w:r w:rsidR="00536D03" w:rsidRPr="00C8261E">
        <w:rPr>
          <w:lang w:val="fr-FR"/>
        </w:rPr>
        <w:t xml:space="preserve">La place de l’Europe dans la coopération </w:t>
      </w:r>
      <w:r w:rsidR="00577187" w:rsidRPr="00C8261E">
        <w:rPr>
          <w:lang w:val="fr-FR"/>
        </w:rPr>
        <w:t xml:space="preserve">spatiale </w:t>
      </w:r>
      <w:r w:rsidR="00536D03" w:rsidRPr="00C8261E">
        <w:rPr>
          <w:lang w:val="fr-FR"/>
        </w:rPr>
        <w:t>internationale.</w:t>
      </w:r>
    </w:p>
    <w:p w14:paraId="745E524A" w14:textId="77777777" w:rsidR="00536D03" w:rsidRPr="00536D03" w:rsidRDefault="00471AE3" w:rsidP="00536D03">
      <w:pPr>
        <w:spacing w:after="0"/>
        <w:jc w:val="both"/>
        <w:rPr>
          <w:lang w:val="fr-FR"/>
        </w:rPr>
      </w:pPr>
      <w:r w:rsidRPr="00536D03">
        <w:rPr>
          <w:lang w:val="fr-FR"/>
        </w:rPr>
        <w:sym w:font="Wingdings" w:char="F0FE"/>
      </w:r>
      <w:r w:rsidRPr="00536D03">
        <w:rPr>
          <w:lang w:val="fr-FR"/>
        </w:rPr>
        <w:t xml:space="preserve"> </w:t>
      </w:r>
      <w:r w:rsidR="00536D03" w:rsidRPr="00536D03">
        <w:rPr>
          <w:lang w:val="fr-FR"/>
        </w:rPr>
        <w:t>Les relations sino-américaines dans le domaine spatiale</w:t>
      </w:r>
      <w:r w:rsidR="00536D03" w:rsidRPr="00C8261E">
        <w:rPr>
          <w:lang w:val="fr-FR"/>
        </w:rPr>
        <w:t>.</w:t>
      </w:r>
    </w:p>
    <w:p w14:paraId="136FDF09" w14:textId="16EF0A9F" w:rsidR="00997085" w:rsidRPr="00536D03" w:rsidRDefault="00471AE3" w:rsidP="00536D03">
      <w:pPr>
        <w:spacing w:after="0"/>
        <w:jc w:val="both"/>
        <w:rPr>
          <w:lang w:val="fr-FR"/>
        </w:rPr>
      </w:pPr>
      <w:r w:rsidRPr="00536D03">
        <w:rPr>
          <w:lang w:val="fr-FR"/>
        </w:rPr>
        <w:sym w:font="Wingdings" w:char="F0FE"/>
      </w:r>
      <w:r w:rsidRPr="00536D03">
        <w:rPr>
          <w:lang w:val="fr-FR"/>
        </w:rPr>
        <w:t xml:space="preserve"> </w:t>
      </w:r>
      <w:r w:rsidR="00536D03" w:rsidRPr="00C8261E">
        <w:rPr>
          <w:lang w:val="fr-FR"/>
        </w:rPr>
        <w:t>Les prochaines missions d’exploration de l’espace.</w:t>
      </w:r>
    </w:p>
    <w:p w14:paraId="69AC1CD5" w14:textId="77777777" w:rsidR="00536D03" w:rsidRPr="00536D03" w:rsidRDefault="00536D03" w:rsidP="00536D03">
      <w:pPr>
        <w:jc w:val="both"/>
        <w:rPr>
          <w:lang w:val="fr-FR"/>
        </w:rPr>
      </w:pPr>
    </w:p>
    <w:p w14:paraId="42454FE2" w14:textId="0B1EEC17" w:rsidR="00997085" w:rsidRDefault="00997085" w:rsidP="003B630C">
      <w:pPr>
        <w:jc w:val="both"/>
        <w:rPr>
          <w:b/>
          <w:bCs/>
          <w:lang w:val="fr-FR"/>
        </w:rPr>
      </w:pPr>
      <w:r w:rsidRPr="00536D03">
        <w:rPr>
          <w:b/>
          <w:bCs/>
          <w:lang w:val="fr-FR"/>
        </w:rPr>
        <w:t xml:space="preserve">Activité </w:t>
      </w:r>
      <w:r w:rsidR="00F0433F" w:rsidRPr="00536D03">
        <w:rPr>
          <w:b/>
          <w:bCs/>
          <w:lang w:val="fr-FR"/>
        </w:rPr>
        <w:t>3</w:t>
      </w:r>
      <w:r w:rsidRPr="00536D03">
        <w:rPr>
          <w:b/>
          <w:bCs/>
          <w:lang w:val="fr-FR"/>
        </w:rPr>
        <w:t> :</w:t>
      </w:r>
    </w:p>
    <w:tbl>
      <w:tblPr>
        <w:tblStyle w:val="Grilledutableau"/>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04"/>
        <w:gridCol w:w="3411"/>
        <w:gridCol w:w="3123"/>
      </w:tblGrid>
      <w:tr w:rsidR="001E137C" w:rsidRPr="00FE1D3A" w14:paraId="042674B0" w14:textId="77777777" w:rsidTr="001E137C">
        <w:tc>
          <w:tcPr>
            <w:tcW w:w="3104" w:type="dxa"/>
            <w:tcBorders>
              <w:top w:val="nil"/>
              <w:left w:val="nil"/>
            </w:tcBorders>
          </w:tcPr>
          <w:p w14:paraId="343DA3AE" w14:textId="77777777" w:rsidR="001E137C" w:rsidRPr="00FE1D3A" w:rsidRDefault="001E137C" w:rsidP="006B39C1">
            <w:pPr>
              <w:spacing w:before="60" w:after="60"/>
              <w:jc w:val="center"/>
              <w:rPr>
                <w:bCs/>
              </w:rPr>
            </w:pPr>
            <w:bookmarkStart w:id="1" w:name="_Hlk149826713"/>
          </w:p>
        </w:tc>
        <w:tc>
          <w:tcPr>
            <w:tcW w:w="3411" w:type="dxa"/>
          </w:tcPr>
          <w:p w14:paraId="3BBD127B" w14:textId="77777777" w:rsidR="001E137C" w:rsidRPr="00FE1D3A" w:rsidRDefault="001E137C" w:rsidP="006B39C1">
            <w:pPr>
              <w:tabs>
                <w:tab w:val="left" w:pos="996"/>
              </w:tabs>
              <w:spacing w:before="60" w:after="60"/>
              <w:jc w:val="center"/>
              <w:rPr>
                <w:bCs/>
              </w:rPr>
            </w:pPr>
            <w:r>
              <w:rPr>
                <w:noProof/>
              </w:rPr>
              <w:drawing>
                <wp:inline distT="0" distB="0" distL="0" distR="0" wp14:anchorId="127A0306" wp14:editId="38DD1B1A">
                  <wp:extent cx="342900" cy="227951"/>
                  <wp:effectExtent l="0" t="0" r="0" b="1270"/>
                  <wp:docPr id="2509221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6308" cy="236864"/>
                          </a:xfrm>
                          <a:prstGeom prst="rect">
                            <a:avLst/>
                          </a:prstGeom>
                          <a:noFill/>
                          <a:ln>
                            <a:noFill/>
                          </a:ln>
                        </pic:spPr>
                      </pic:pic>
                    </a:graphicData>
                  </a:graphic>
                </wp:inline>
              </w:drawing>
            </w:r>
            <w:r w:rsidRPr="00FE1D3A">
              <w:rPr>
                <w:noProof/>
              </w:rPr>
              <w:t xml:space="preserve"> </w:t>
            </w:r>
            <w:r>
              <w:rPr>
                <w:noProof/>
              </w:rPr>
              <w:drawing>
                <wp:inline distT="0" distB="0" distL="0" distR="0" wp14:anchorId="4A2E47E8" wp14:editId="7218B4CD">
                  <wp:extent cx="321640" cy="213856"/>
                  <wp:effectExtent l="19050" t="19050" r="21590" b="15240"/>
                  <wp:docPr id="76192439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8847" cy="225297"/>
                          </a:xfrm>
                          <a:prstGeom prst="rect">
                            <a:avLst/>
                          </a:prstGeom>
                          <a:noFill/>
                          <a:ln>
                            <a:solidFill>
                              <a:schemeClr val="bg1">
                                <a:lumMod val="65000"/>
                              </a:schemeClr>
                            </a:solidFill>
                          </a:ln>
                        </pic:spPr>
                      </pic:pic>
                    </a:graphicData>
                  </a:graphic>
                </wp:inline>
              </w:drawing>
            </w:r>
            <w:r w:rsidRPr="00FE1D3A">
              <w:rPr>
                <w:noProof/>
              </w:rPr>
              <w:t xml:space="preserve"> </w:t>
            </w:r>
            <w:r>
              <w:rPr>
                <w:noProof/>
              </w:rPr>
              <w:drawing>
                <wp:inline distT="0" distB="0" distL="0" distR="0" wp14:anchorId="6D39AB73" wp14:editId="28E19B8A">
                  <wp:extent cx="361976" cy="240665"/>
                  <wp:effectExtent l="0" t="0" r="0" b="6985"/>
                  <wp:docPr id="16124061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117" cy="252062"/>
                          </a:xfrm>
                          <a:prstGeom prst="rect">
                            <a:avLst/>
                          </a:prstGeom>
                          <a:noFill/>
                          <a:ln>
                            <a:noFill/>
                          </a:ln>
                        </pic:spPr>
                      </pic:pic>
                    </a:graphicData>
                  </a:graphic>
                </wp:inline>
              </w:drawing>
            </w:r>
            <w:r w:rsidRPr="00FE1D3A">
              <w:rPr>
                <w:noProof/>
              </w:rPr>
              <w:t xml:space="preserve">  </w:t>
            </w:r>
            <w:r>
              <w:rPr>
                <w:noProof/>
              </w:rPr>
              <w:drawing>
                <wp:inline distT="0" distB="0" distL="0" distR="0" wp14:anchorId="5BC9A8B0" wp14:editId="62595961">
                  <wp:extent cx="388541" cy="226060"/>
                  <wp:effectExtent l="0" t="0" r="0" b="2540"/>
                  <wp:docPr id="1060860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0633" cy="238913"/>
                          </a:xfrm>
                          <a:prstGeom prst="rect">
                            <a:avLst/>
                          </a:prstGeom>
                          <a:noFill/>
                          <a:ln>
                            <a:noFill/>
                          </a:ln>
                        </pic:spPr>
                      </pic:pic>
                    </a:graphicData>
                  </a:graphic>
                </wp:inline>
              </w:drawing>
            </w:r>
            <w:r>
              <w:rPr>
                <w:noProof/>
              </w:rPr>
              <w:t xml:space="preserve"> </w:t>
            </w:r>
            <w:r>
              <w:rPr>
                <w:noProof/>
              </w:rPr>
              <w:drawing>
                <wp:inline distT="0" distB="0" distL="0" distR="0" wp14:anchorId="18C6B83B" wp14:editId="054E5362">
                  <wp:extent cx="316230" cy="210820"/>
                  <wp:effectExtent l="19050" t="19050" r="26670" b="17780"/>
                  <wp:docPr id="15154585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6230" cy="210820"/>
                          </a:xfrm>
                          <a:prstGeom prst="rect">
                            <a:avLst/>
                          </a:prstGeom>
                          <a:noFill/>
                          <a:ln>
                            <a:solidFill>
                              <a:schemeClr val="bg1">
                                <a:lumMod val="65000"/>
                              </a:schemeClr>
                            </a:solidFill>
                          </a:ln>
                        </pic:spPr>
                      </pic:pic>
                    </a:graphicData>
                  </a:graphic>
                </wp:inline>
              </w:drawing>
            </w:r>
          </w:p>
        </w:tc>
        <w:tc>
          <w:tcPr>
            <w:tcW w:w="3123" w:type="dxa"/>
          </w:tcPr>
          <w:p w14:paraId="5F7AC6B8" w14:textId="77777777" w:rsidR="001E137C" w:rsidRPr="00FE1D3A" w:rsidRDefault="001E137C" w:rsidP="006B39C1">
            <w:pPr>
              <w:spacing w:before="60" w:after="60"/>
              <w:jc w:val="center"/>
              <w:rPr>
                <w:bCs/>
              </w:rPr>
            </w:pPr>
            <w:r>
              <w:rPr>
                <w:noProof/>
              </w:rPr>
              <w:drawing>
                <wp:inline distT="0" distB="0" distL="0" distR="0" wp14:anchorId="173AAC5C" wp14:editId="40F31466">
                  <wp:extent cx="362617" cy="238760"/>
                  <wp:effectExtent l="0" t="0" r="0" b="8890"/>
                  <wp:docPr id="52746658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3325" cy="245810"/>
                          </a:xfrm>
                          <a:prstGeom prst="rect">
                            <a:avLst/>
                          </a:prstGeom>
                          <a:noFill/>
                          <a:ln>
                            <a:noFill/>
                          </a:ln>
                        </pic:spPr>
                      </pic:pic>
                    </a:graphicData>
                  </a:graphic>
                </wp:inline>
              </w:drawing>
            </w:r>
          </w:p>
        </w:tc>
      </w:tr>
      <w:tr w:rsidR="001E137C" w:rsidRPr="00FE1D3A" w14:paraId="0384ADB0" w14:textId="77777777" w:rsidTr="001E137C">
        <w:tc>
          <w:tcPr>
            <w:tcW w:w="3104" w:type="dxa"/>
          </w:tcPr>
          <w:p w14:paraId="5257305F" w14:textId="77777777" w:rsidR="001E137C" w:rsidRPr="00FE1D3A" w:rsidRDefault="001E137C" w:rsidP="001E137C">
            <w:pPr>
              <w:jc w:val="both"/>
              <w:rPr>
                <w:bCs/>
              </w:rPr>
            </w:pPr>
            <w:r w:rsidRPr="00FE1D3A">
              <w:rPr>
                <w:bCs/>
              </w:rPr>
              <w:t>Nom sous forme d’abréviation.</w:t>
            </w:r>
          </w:p>
        </w:tc>
        <w:tc>
          <w:tcPr>
            <w:tcW w:w="3411" w:type="dxa"/>
          </w:tcPr>
          <w:p w14:paraId="75E77B55" w14:textId="77777777" w:rsidR="001E137C" w:rsidRPr="00FE1D3A" w:rsidRDefault="001E137C" w:rsidP="001E137C">
            <w:pPr>
              <w:jc w:val="center"/>
              <w:rPr>
                <w:bCs/>
                <w:i/>
                <w:iCs/>
              </w:rPr>
            </w:pPr>
            <w:r w:rsidRPr="00FE1D3A">
              <w:rPr>
                <w:bCs/>
                <w:i/>
                <w:iCs/>
              </w:rPr>
              <w:t>ISS.</w:t>
            </w:r>
          </w:p>
        </w:tc>
        <w:tc>
          <w:tcPr>
            <w:tcW w:w="3123" w:type="dxa"/>
          </w:tcPr>
          <w:p w14:paraId="4C736F61" w14:textId="1AC5EE34" w:rsidR="001E137C" w:rsidRPr="00FE1D3A" w:rsidRDefault="001E137C" w:rsidP="001E137C">
            <w:pPr>
              <w:jc w:val="center"/>
              <w:rPr>
                <w:bCs/>
              </w:rPr>
            </w:pPr>
            <w:r w:rsidRPr="00536D03">
              <w:rPr>
                <w:b/>
              </w:rPr>
              <w:t>SSC.</w:t>
            </w:r>
          </w:p>
        </w:tc>
      </w:tr>
      <w:tr w:rsidR="001E137C" w:rsidRPr="00FE1D3A" w14:paraId="2B10C7B3" w14:textId="77777777" w:rsidTr="001E137C">
        <w:tc>
          <w:tcPr>
            <w:tcW w:w="3104" w:type="dxa"/>
          </w:tcPr>
          <w:p w14:paraId="1407FD6D" w14:textId="77777777" w:rsidR="001E137C" w:rsidRPr="00FE1D3A" w:rsidRDefault="001E137C" w:rsidP="001E137C">
            <w:pPr>
              <w:jc w:val="both"/>
              <w:rPr>
                <w:bCs/>
              </w:rPr>
            </w:pPr>
            <w:r w:rsidRPr="00FE1D3A">
              <w:rPr>
                <w:bCs/>
              </w:rPr>
              <w:t>Date de fin de son assemblage.</w:t>
            </w:r>
          </w:p>
        </w:tc>
        <w:tc>
          <w:tcPr>
            <w:tcW w:w="3411" w:type="dxa"/>
          </w:tcPr>
          <w:p w14:paraId="1191F2D3" w14:textId="77777777" w:rsidR="001E137C" w:rsidRPr="00FE1D3A" w:rsidRDefault="001E137C" w:rsidP="001E137C">
            <w:pPr>
              <w:jc w:val="center"/>
              <w:rPr>
                <w:bCs/>
                <w:i/>
                <w:iCs/>
              </w:rPr>
            </w:pPr>
            <w:r w:rsidRPr="00FE1D3A">
              <w:rPr>
                <w:bCs/>
                <w:i/>
                <w:iCs/>
              </w:rPr>
              <w:t>2011.</w:t>
            </w:r>
          </w:p>
        </w:tc>
        <w:tc>
          <w:tcPr>
            <w:tcW w:w="3123" w:type="dxa"/>
          </w:tcPr>
          <w:p w14:paraId="271D5348" w14:textId="33B21395" w:rsidR="001E137C" w:rsidRPr="00FE1D3A" w:rsidRDefault="001E137C" w:rsidP="001E137C">
            <w:pPr>
              <w:jc w:val="center"/>
              <w:rPr>
                <w:bCs/>
              </w:rPr>
            </w:pPr>
            <w:r w:rsidRPr="00536D03">
              <w:rPr>
                <w:b/>
              </w:rPr>
              <w:t>2022.</w:t>
            </w:r>
          </w:p>
        </w:tc>
      </w:tr>
      <w:tr w:rsidR="001E137C" w:rsidRPr="00FE1D3A" w14:paraId="2E719DA6" w14:textId="77777777" w:rsidTr="001E137C">
        <w:tc>
          <w:tcPr>
            <w:tcW w:w="3104" w:type="dxa"/>
          </w:tcPr>
          <w:p w14:paraId="3DC9F000" w14:textId="77777777" w:rsidR="001E137C" w:rsidRPr="00FE1D3A" w:rsidRDefault="001E137C" w:rsidP="001E137C">
            <w:pPr>
              <w:jc w:val="both"/>
              <w:rPr>
                <w:bCs/>
              </w:rPr>
            </w:pPr>
            <w:r w:rsidRPr="00FE1D3A">
              <w:rPr>
                <w:bCs/>
              </w:rPr>
              <w:t>Capacité à envoyer des hommes dans l’espace (vol habité).</w:t>
            </w:r>
          </w:p>
        </w:tc>
        <w:tc>
          <w:tcPr>
            <w:tcW w:w="3411" w:type="dxa"/>
          </w:tcPr>
          <w:p w14:paraId="0708FEE7" w14:textId="77777777" w:rsidR="001E137C" w:rsidRPr="00FE1D3A" w:rsidRDefault="001E137C" w:rsidP="001E137C">
            <w:pPr>
              <w:jc w:val="center"/>
              <w:rPr>
                <w:bCs/>
                <w:i/>
                <w:iCs/>
              </w:rPr>
            </w:pPr>
            <w:r w:rsidRPr="00FE1D3A">
              <w:rPr>
                <w:bCs/>
                <w:i/>
                <w:iCs/>
              </w:rPr>
              <w:t xml:space="preserve">Autonomie des </w:t>
            </w:r>
            <w:r w:rsidRPr="00FE1D3A">
              <w:rPr>
                <w:rFonts w:cs="Tahoma"/>
                <w:bCs/>
                <w:i/>
                <w:iCs/>
              </w:rPr>
              <w:t>États-Unis et de la Russie.</w:t>
            </w:r>
          </w:p>
        </w:tc>
        <w:tc>
          <w:tcPr>
            <w:tcW w:w="3123" w:type="dxa"/>
          </w:tcPr>
          <w:p w14:paraId="7F27A1A8" w14:textId="683DA545" w:rsidR="001E137C" w:rsidRPr="00FE1D3A" w:rsidRDefault="001E137C" w:rsidP="001E137C">
            <w:pPr>
              <w:jc w:val="center"/>
              <w:rPr>
                <w:bCs/>
              </w:rPr>
            </w:pPr>
            <w:r w:rsidRPr="00536D03">
              <w:rPr>
                <w:b/>
              </w:rPr>
              <w:t>Une autonomie importante.</w:t>
            </w:r>
          </w:p>
        </w:tc>
      </w:tr>
      <w:tr w:rsidR="001E137C" w:rsidRPr="00FE1D3A" w14:paraId="75DD67E4" w14:textId="77777777" w:rsidTr="001E137C">
        <w:tc>
          <w:tcPr>
            <w:tcW w:w="3104" w:type="dxa"/>
          </w:tcPr>
          <w:p w14:paraId="57B9A745" w14:textId="77777777" w:rsidR="001E137C" w:rsidRPr="00FE1D3A" w:rsidRDefault="001E137C" w:rsidP="001E137C">
            <w:pPr>
              <w:jc w:val="both"/>
              <w:rPr>
                <w:bCs/>
              </w:rPr>
            </w:pPr>
            <w:r w:rsidRPr="00FE1D3A">
              <w:rPr>
                <w:bCs/>
              </w:rPr>
              <w:t>Composition.</w:t>
            </w:r>
          </w:p>
        </w:tc>
        <w:tc>
          <w:tcPr>
            <w:tcW w:w="3411" w:type="dxa"/>
          </w:tcPr>
          <w:p w14:paraId="0852E43A" w14:textId="77777777" w:rsidR="001E137C" w:rsidRPr="00FE1D3A" w:rsidRDefault="001E137C" w:rsidP="001E137C">
            <w:pPr>
              <w:jc w:val="center"/>
              <w:rPr>
                <w:bCs/>
                <w:i/>
                <w:iCs/>
              </w:rPr>
            </w:pPr>
            <w:r w:rsidRPr="00FE1D3A">
              <w:rPr>
                <w:bCs/>
                <w:i/>
                <w:iCs/>
              </w:rPr>
              <w:t>Une quinzaine de modules.</w:t>
            </w:r>
          </w:p>
        </w:tc>
        <w:tc>
          <w:tcPr>
            <w:tcW w:w="3123" w:type="dxa"/>
          </w:tcPr>
          <w:p w14:paraId="6F0A3698" w14:textId="5AC289A4" w:rsidR="001E137C" w:rsidRPr="00FE1D3A" w:rsidRDefault="001E137C" w:rsidP="001E137C">
            <w:pPr>
              <w:jc w:val="center"/>
              <w:rPr>
                <w:bCs/>
              </w:rPr>
            </w:pPr>
            <w:r w:rsidRPr="00536D03">
              <w:rPr>
                <w:b/>
              </w:rPr>
              <w:t>3 modules.</w:t>
            </w:r>
          </w:p>
        </w:tc>
      </w:tr>
      <w:tr w:rsidR="001E137C" w:rsidRPr="00FE1D3A" w14:paraId="3A64BCF0" w14:textId="77777777" w:rsidTr="001E137C">
        <w:tc>
          <w:tcPr>
            <w:tcW w:w="3104" w:type="dxa"/>
          </w:tcPr>
          <w:p w14:paraId="49E78DA3" w14:textId="77777777" w:rsidR="001E137C" w:rsidRPr="00FE1D3A" w:rsidRDefault="001E137C" w:rsidP="001E137C">
            <w:pPr>
              <w:jc w:val="both"/>
              <w:rPr>
                <w:bCs/>
              </w:rPr>
            </w:pPr>
            <w:r w:rsidRPr="00FE1D3A">
              <w:rPr>
                <w:bCs/>
              </w:rPr>
              <w:t>Capacité d’accueil humain.</w:t>
            </w:r>
          </w:p>
        </w:tc>
        <w:tc>
          <w:tcPr>
            <w:tcW w:w="3411" w:type="dxa"/>
          </w:tcPr>
          <w:p w14:paraId="53319123" w14:textId="77777777" w:rsidR="001E137C" w:rsidRPr="00FE1D3A" w:rsidRDefault="001E137C" w:rsidP="001E137C">
            <w:pPr>
              <w:jc w:val="center"/>
              <w:rPr>
                <w:bCs/>
                <w:i/>
                <w:iCs/>
              </w:rPr>
            </w:pPr>
            <w:r w:rsidRPr="00FE1D3A">
              <w:rPr>
                <w:bCs/>
                <w:i/>
                <w:iCs/>
              </w:rPr>
              <w:t>6 astronautes.</w:t>
            </w:r>
          </w:p>
        </w:tc>
        <w:tc>
          <w:tcPr>
            <w:tcW w:w="3123" w:type="dxa"/>
          </w:tcPr>
          <w:p w14:paraId="2F99CD46" w14:textId="203BB3BC" w:rsidR="001E137C" w:rsidRPr="00FE1D3A" w:rsidRDefault="001E137C" w:rsidP="001E137C">
            <w:pPr>
              <w:jc w:val="center"/>
              <w:rPr>
                <w:bCs/>
              </w:rPr>
            </w:pPr>
            <w:r w:rsidRPr="00536D03">
              <w:rPr>
                <w:b/>
              </w:rPr>
              <w:t>3 astronautes.</w:t>
            </w:r>
          </w:p>
        </w:tc>
      </w:tr>
      <w:tr w:rsidR="001E137C" w:rsidRPr="00FE1D3A" w14:paraId="51750CD4" w14:textId="77777777" w:rsidTr="001E137C">
        <w:tc>
          <w:tcPr>
            <w:tcW w:w="3104" w:type="dxa"/>
          </w:tcPr>
          <w:p w14:paraId="45B11A1B" w14:textId="77777777" w:rsidR="001E137C" w:rsidRPr="00FE1D3A" w:rsidRDefault="001E137C" w:rsidP="001E137C">
            <w:pPr>
              <w:jc w:val="both"/>
              <w:rPr>
                <w:bCs/>
              </w:rPr>
            </w:pPr>
            <w:r w:rsidRPr="00FE1D3A">
              <w:rPr>
                <w:bCs/>
              </w:rPr>
              <w:t>Importance symbolique.</w:t>
            </w:r>
          </w:p>
        </w:tc>
        <w:tc>
          <w:tcPr>
            <w:tcW w:w="3411" w:type="dxa"/>
          </w:tcPr>
          <w:p w14:paraId="36434C42" w14:textId="77777777" w:rsidR="001E137C" w:rsidRPr="00FE1D3A" w:rsidRDefault="001E137C" w:rsidP="001E137C">
            <w:pPr>
              <w:jc w:val="center"/>
              <w:rPr>
                <w:bCs/>
                <w:i/>
                <w:iCs/>
              </w:rPr>
            </w:pPr>
            <w:r w:rsidRPr="00FE1D3A">
              <w:rPr>
                <w:bCs/>
                <w:i/>
                <w:iCs/>
              </w:rPr>
              <w:t>Très grand projet de coopération internationale.</w:t>
            </w:r>
          </w:p>
        </w:tc>
        <w:tc>
          <w:tcPr>
            <w:tcW w:w="3123" w:type="dxa"/>
          </w:tcPr>
          <w:p w14:paraId="4ED160A2" w14:textId="79468A0C" w:rsidR="001E137C" w:rsidRPr="00FE1D3A" w:rsidRDefault="001E137C" w:rsidP="001E137C">
            <w:pPr>
              <w:jc w:val="center"/>
              <w:rPr>
                <w:bCs/>
              </w:rPr>
            </w:pPr>
            <w:r w:rsidRPr="00536D03">
              <w:rPr>
                <w:b/>
              </w:rPr>
              <w:t>Une réplique en modèle réduit</w:t>
            </w:r>
            <w:r>
              <w:rPr>
                <w:b/>
              </w:rPr>
              <w:t xml:space="preserve"> de l’ISS</w:t>
            </w:r>
            <w:r w:rsidRPr="00536D03">
              <w:rPr>
                <w:b/>
              </w:rPr>
              <w:t>.</w:t>
            </w:r>
          </w:p>
        </w:tc>
      </w:tr>
      <w:bookmarkEnd w:id="1"/>
    </w:tbl>
    <w:p w14:paraId="1C8FB140" w14:textId="77777777" w:rsidR="00B313F5" w:rsidRPr="00536D03" w:rsidRDefault="00B313F5" w:rsidP="003B630C">
      <w:pPr>
        <w:jc w:val="both"/>
        <w:rPr>
          <w:lang w:val="fr-FR"/>
        </w:rPr>
      </w:pPr>
    </w:p>
    <w:p w14:paraId="554ECEA0" w14:textId="7AA9676D" w:rsidR="00B313F5" w:rsidRPr="00536D03" w:rsidRDefault="00B313F5" w:rsidP="003B630C">
      <w:pPr>
        <w:jc w:val="both"/>
        <w:rPr>
          <w:b/>
          <w:bCs/>
          <w:lang w:val="fr-FR"/>
        </w:rPr>
      </w:pPr>
      <w:r w:rsidRPr="00536D03">
        <w:rPr>
          <w:b/>
          <w:bCs/>
          <w:lang w:val="fr-FR"/>
        </w:rPr>
        <w:t xml:space="preserve">Activité </w:t>
      </w:r>
      <w:r w:rsidR="00F0433F" w:rsidRPr="00536D03">
        <w:rPr>
          <w:b/>
          <w:bCs/>
          <w:lang w:val="fr-FR"/>
        </w:rPr>
        <w:t>4</w:t>
      </w:r>
      <w:r w:rsidRPr="00536D03">
        <w:rPr>
          <w:b/>
          <w:bCs/>
          <w:lang w:val="fr-FR"/>
        </w:rPr>
        <w:t> :</w:t>
      </w:r>
    </w:p>
    <w:p w14:paraId="4EEE2E4F" w14:textId="77777777" w:rsidR="007940B7" w:rsidRPr="00536D03" w:rsidRDefault="007940B7" w:rsidP="007940B7">
      <w:pPr>
        <w:jc w:val="both"/>
        <w:rPr>
          <w:bCs/>
          <w:lang w:val="fr-FR"/>
        </w:rPr>
      </w:pPr>
      <w:r w:rsidRPr="00536D03">
        <w:rPr>
          <w:lang w:val="fr-FR"/>
        </w:rPr>
        <w:t xml:space="preserve">1. </w:t>
      </w:r>
      <w:r w:rsidRPr="00536D03">
        <w:rPr>
          <w:bCs/>
          <w:lang w:val="fr-FR"/>
        </w:rPr>
        <w:t xml:space="preserve">L’espace est à la fois un moyen pour les </w:t>
      </w:r>
      <w:r w:rsidRPr="00536D03">
        <w:rPr>
          <w:rFonts w:cs="Tahoma"/>
          <w:bCs/>
          <w:lang w:val="fr-FR"/>
        </w:rPr>
        <w:t>É</w:t>
      </w:r>
      <w:r w:rsidRPr="00536D03">
        <w:rPr>
          <w:bCs/>
          <w:lang w:val="fr-FR"/>
        </w:rPr>
        <w:t>tats de se mesurer les uns aux autres (de montrer leurs muscles) mais aussi de coopérer et parfois de dépasser les crises qui les opposent (se rapprocher, faire dialoguer des pays qui peuvent être en crise).</w:t>
      </w:r>
    </w:p>
    <w:p w14:paraId="2BBAE5B1" w14:textId="77777777" w:rsidR="007940B7" w:rsidRPr="00536D03" w:rsidRDefault="007940B7" w:rsidP="007940B7">
      <w:pPr>
        <w:jc w:val="both"/>
        <w:rPr>
          <w:bCs/>
          <w:lang w:val="fr-FR"/>
        </w:rPr>
      </w:pPr>
      <w:r w:rsidRPr="00536D03">
        <w:rPr>
          <w:lang w:val="fr-FR"/>
        </w:rPr>
        <w:t xml:space="preserve">2. </w:t>
      </w:r>
      <w:r w:rsidRPr="00536D03">
        <w:rPr>
          <w:bCs/>
          <w:lang w:val="fr-FR"/>
        </w:rPr>
        <w:t xml:space="preserve">David Saint-Jacques fait référence à la première course vers la Lune qui a vu s’opposer (les </w:t>
      </w:r>
      <w:r w:rsidRPr="00536D03">
        <w:rPr>
          <w:rFonts w:cs="Tahoma"/>
          <w:bCs/>
          <w:lang w:val="fr-FR"/>
        </w:rPr>
        <w:t>É</w:t>
      </w:r>
      <w:r w:rsidRPr="00536D03">
        <w:rPr>
          <w:bCs/>
          <w:lang w:val="fr-FR"/>
        </w:rPr>
        <w:t>tats-Unis) et l’URSS, sur fond de guerre froide. Malgré leurs différends, les deux puissances spatiales ont réussi à collaborer autour d’un programme spatial international.</w:t>
      </w:r>
    </w:p>
    <w:p w14:paraId="1361F0FB" w14:textId="207974F0" w:rsidR="007940B7" w:rsidRPr="00536D03" w:rsidRDefault="007940B7" w:rsidP="007940B7">
      <w:pPr>
        <w:jc w:val="both"/>
        <w:rPr>
          <w:bCs/>
          <w:lang w:val="fr-FR"/>
        </w:rPr>
      </w:pPr>
      <w:r w:rsidRPr="00536D03">
        <w:rPr>
          <w:lang w:val="fr-FR"/>
        </w:rPr>
        <w:t xml:space="preserve">3. </w:t>
      </w:r>
      <w:r w:rsidRPr="00536D03">
        <w:rPr>
          <w:bCs/>
          <w:lang w:val="fr-FR"/>
        </w:rPr>
        <w:t xml:space="preserve">Dominique </w:t>
      </w:r>
      <w:proofErr w:type="spellStart"/>
      <w:r w:rsidRPr="00536D03">
        <w:rPr>
          <w:bCs/>
          <w:lang w:val="fr-FR"/>
        </w:rPr>
        <w:t>Laresche</w:t>
      </w:r>
      <w:proofErr w:type="spellEnd"/>
      <w:r w:rsidRPr="00536D03">
        <w:rPr>
          <w:bCs/>
          <w:lang w:val="fr-FR"/>
        </w:rPr>
        <w:t xml:space="preserve"> souhaite souligner l’important écart qui existe entre le budget de la NASA (19 milliards) et celui de la CNSA (2 milliards) et mettre ainsi en doute les chiffres officiels diffusés par la Chine. Le budget de l’agence spatiale chinoise semble</w:t>
      </w:r>
      <w:r w:rsidR="001811D2">
        <w:rPr>
          <w:bCs/>
          <w:lang w:val="fr-FR"/>
        </w:rPr>
        <w:t xml:space="preserve"> très faible et donc ne</w:t>
      </w:r>
      <w:r w:rsidRPr="00536D03">
        <w:rPr>
          <w:bCs/>
          <w:lang w:val="fr-FR"/>
        </w:rPr>
        <w:t xml:space="preserve"> pas correspondre à la réalité de son programme.</w:t>
      </w:r>
    </w:p>
    <w:p w14:paraId="2A6C2A62" w14:textId="77777777" w:rsidR="007940B7" w:rsidRPr="00536D03" w:rsidRDefault="007940B7" w:rsidP="007940B7">
      <w:pPr>
        <w:jc w:val="both"/>
        <w:rPr>
          <w:bCs/>
          <w:lang w:val="fr-FR"/>
        </w:rPr>
      </w:pPr>
      <w:r w:rsidRPr="00536D03">
        <w:rPr>
          <w:lang w:val="fr-FR"/>
        </w:rPr>
        <w:lastRenderedPageBreak/>
        <w:t xml:space="preserve">4. </w:t>
      </w:r>
      <w:r w:rsidRPr="00536D03">
        <w:rPr>
          <w:bCs/>
          <w:lang w:val="fr-FR"/>
        </w:rPr>
        <w:t xml:space="preserve">Philippe </w:t>
      </w:r>
      <w:proofErr w:type="spellStart"/>
      <w:r w:rsidRPr="00536D03">
        <w:rPr>
          <w:bCs/>
          <w:lang w:val="fr-FR"/>
        </w:rPr>
        <w:t>Willekens</w:t>
      </w:r>
      <w:proofErr w:type="spellEnd"/>
      <w:r w:rsidRPr="00536D03">
        <w:rPr>
          <w:bCs/>
          <w:lang w:val="fr-FR"/>
        </w:rPr>
        <w:t xml:space="preserve"> minimise le programme spatial de la Chine en parlant de « forme d’indépendance » et de « petite sœur » en comparaison avec la coopération internationale.</w:t>
      </w:r>
    </w:p>
    <w:p w14:paraId="5D39D5F9" w14:textId="77777777" w:rsidR="007940B7" w:rsidRPr="00536D03" w:rsidRDefault="007940B7" w:rsidP="007940B7">
      <w:pPr>
        <w:spacing w:after="0"/>
        <w:jc w:val="both"/>
        <w:rPr>
          <w:bCs/>
          <w:lang w:val="fr-FR"/>
        </w:rPr>
      </w:pPr>
      <w:r w:rsidRPr="00536D03">
        <w:rPr>
          <w:lang w:val="fr-FR"/>
        </w:rPr>
        <w:t xml:space="preserve">5. </w:t>
      </w:r>
      <w:r w:rsidRPr="00536D03">
        <w:rPr>
          <w:bCs/>
          <w:lang w:val="fr-FR"/>
        </w:rPr>
        <w:t>L’Europe est selon lui un des partenaires principaux de la coopération internationale mais elle doit également affirmer son indépendance.</w:t>
      </w:r>
    </w:p>
    <w:p w14:paraId="2904DEA8" w14:textId="77777777" w:rsidR="00EB0BE3" w:rsidRPr="00536D03" w:rsidRDefault="00EB0BE3" w:rsidP="003B630C">
      <w:pPr>
        <w:jc w:val="both"/>
        <w:rPr>
          <w:lang w:val="fr-FR"/>
        </w:rPr>
      </w:pPr>
    </w:p>
    <w:p w14:paraId="0A86C51A" w14:textId="05BB2A0A" w:rsidR="00EB0BE3" w:rsidRPr="00536D03" w:rsidRDefault="00EB0BE3" w:rsidP="003B630C">
      <w:pPr>
        <w:jc w:val="both"/>
        <w:rPr>
          <w:b/>
          <w:bCs/>
          <w:lang w:val="fr-FR"/>
        </w:rPr>
      </w:pPr>
      <w:r w:rsidRPr="00536D03">
        <w:rPr>
          <w:b/>
          <w:bCs/>
          <w:lang w:val="fr-FR"/>
        </w:rPr>
        <w:t xml:space="preserve">Activité </w:t>
      </w:r>
      <w:r w:rsidR="00F0433F" w:rsidRPr="00536D03">
        <w:rPr>
          <w:b/>
          <w:bCs/>
          <w:lang w:val="fr-FR"/>
        </w:rPr>
        <w:t>5</w:t>
      </w:r>
      <w:r w:rsidRPr="00536D03">
        <w:rPr>
          <w:b/>
          <w:bCs/>
          <w:lang w:val="fr-FR"/>
        </w:rPr>
        <w:t> :</w:t>
      </w:r>
    </w:p>
    <w:p w14:paraId="7057DA17" w14:textId="0CDB9D29" w:rsidR="00F0433F" w:rsidRPr="00536D03" w:rsidRDefault="001811D2" w:rsidP="000644F3">
      <w:pPr>
        <w:spacing w:after="0"/>
        <w:jc w:val="both"/>
        <w:rPr>
          <w:lang w:val="fr-FR"/>
        </w:rPr>
      </w:pPr>
      <w:r>
        <w:rPr>
          <w:lang w:val="fr-FR"/>
        </w:rPr>
        <w:t xml:space="preserve">La Chine est exclue des grands programmes spatiaux américains, comme Artémis, et donc de la coopération internationale. Elle développe ses propres programmes spatiaux. L’émergence de sa puissance technologique et militaire depuis la fin des années 90 fait de la Chine un concurrent stratégique des </w:t>
      </w:r>
      <w:r>
        <w:rPr>
          <w:rFonts w:cs="Tahoma"/>
          <w:lang w:val="fr-FR"/>
        </w:rPr>
        <w:t>É</w:t>
      </w:r>
      <w:r>
        <w:rPr>
          <w:lang w:val="fr-FR"/>
        </w:rPr>
        <w:t xml:space="preserve">tats-Unis. Les deux </w:t>
      </w:r>
      <w:r>
        <w:rPr>
          <w:rFonts w:cs="Tahoma"/>
          <w:lang w:val="fr-FR"/>
        </w:rPr>
        <w:t>É</w:t>
      </w:r>
      <w:r>
        <w:rPr>
          <w:lang w:val="fr-FR"/>
        </w:rPr>
        <w:t>tats vont se mesurer au cours de la conquête de Mars. La deuxième course à la Lune pourrait les faire se rapprocher néanmoins.</w:t>
      </w:r>
    </w:p>
    <w:sectPr w:rsidR="00F0433F" w:rsidRPr="00536D03" w:rsidSect="00A33F16">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9B5ED" w14:textId="77777777" w:rsidR="0070603C" w:rsidRDefault="0070603C" w:rsidP="00A33F16">
      <w:pPr>
        <w:spacing w:after="0" w:line="240" w:lineRule="auto"/>
      </w:pPr>
      <w:r>
        <w:separator/>
      </w:r>
    </w:p>
  </w:endnote>
  <w:endnote w:type="continuationSeparator" w:id="0">
    <w:p w14:paraId="194AFB6D" w14:textId="77777777" w:rsidR="0070603C" w:rsidRDefault="0070603C"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620F" w14:textId="77777777" w:rsidR="000644F3" w:rsidRDefault="000644F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5A639C64" w14:textId="77777777" w:rsidR="00A33F16" w:rsidRDefault="00432F59" w:rsidP="005D2F98">
          <w:pPr>
            <w:pStyle w:val="Pieddepage"/>
          </w:pPr>
          <w:r>
            <w:t xml:space="preserve">Conception : </w:t>
          </w:r>
          <w:r w:rsidR="005D2F98">
            <w:t>Sophie Laboiry</w:t>
          </w:r>
          <w:r>
            <w:t xml:space="preserve">, </w:t>
          </w:r>
          <w:r w:rsidR="005D2F98">
            <w:t>Alliance Française de Bruxelles-Europe</w:t>
          </w:r>
        </w:p>
        <w:p w14:paraId="0A7176EA" w14:textId="407811B5" w:rsidR="000644F3" w:rsidRDefault="000644F3" w:rsidP="005D2F98">
          <w:pPr>
            <w:pStyle w:val="Pieddepage"/>
          </w:pPr>
          <w:r>
            <w:t xml:space="preserve">Crédit image : © </w:t>
          </w:r>
          <w:proofErr w:type="spellStart"/>
          <w:r>
            <w:t>iStock</w:t>
          </w:r>
          <w:proofErr w:type="spellEnd"/>
        </w:p>
      </w:tc>
      <w:tc>
        <w:tcPr>
          <w:tcW w:w="735" w:type="pct"/>
        </w:tcPr>
        <w:p w14:paraId="3DEB97FE" w14:textId="53CEC0F9"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6E7F58">
            <w:rPr>
              <w:b/>
              <w:noProof/>
            </w:rPr>
            <w:t>1</w:t>
          </w:r>
          <w:r w:rsidRPr="00A33F16">
            <w:rPr>
              <w:b/>
            </w:rPr>
            <w:fldChar w:fldCharType="end"/>
          </w:r>
          <w:r>
            <w:t xml:space="preserve"> / </w:t>
          </w:r>
          <w:fldSimple w:instr="NUMPAGES  \* Arabic  \* MERGEFORMAT">
            <w:r w:rsidR="006E7F58">
              <w:rPr>
                <w:noProof/>
              </w:rPr>
              <w:t>1</w:t>
            </w:r>
          </w:fldSimple>
        </w:p>
      </w:tc>
    </w:tr>
  </w:tbl>
  <w:p w14:paraId="42CEC38A" w14:textId="77777777" w:rsidR="00A33F16" w:rsidRDefault="00A33F16" w:rsidP="00A33F1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4388" w14:textId="77777777" w:rsidR="000644F3" w:rsidRDefault="000644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E6B99" w14:textId="77777777" w:rsidR="0070603C" w:rsidRDefault="0070603C" w:rsidP="00A33F16">
      <w:pPr>
        <w:spacing w:after="0" w:line="240" w:lineRule="auto"/>
      </w:pPr>
      <w:r>
        <w:separator/>
      </w:r>
    </w:p>
  </w:footnote>
  <w:footnote w:type="continuationSeparator" w:id="0">
    <w:p w14:paraId="2879E850" w14:textId="77777777" w:rsidR="0070603C" w:rsidRDefault="0070603C"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A693" w14:textId="77777777" w:rsidR="000644F3" w:rsidRDefault="000644F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24B6" w14:textId="2C1C3B76" w:rsidR="00A33F16" w:rsidRDefault="00C05E1A" w:rsidP="00A33F16">
    <w:pPr>
      <w:pStyle w:val="En-tteniveau"/>
      <w:numPr>
        <w:ilvl w:val="0"/>
        <w:numId w:val="0"/>
      </w:numPr>
      <w:jc w:val="left"/>
    </w:pPr>
    <w:r>
      <w:rPr>
        <w:noProof/>
        <w:lang w:eastAsia="fr-FR"/>
      </w:rPr>
      <w:drawing>
        <wp:inline distT="0" distB="0" distL="0" distR="0" wp14:anchorId="7B4A03B7" wp14:editId="31D36887">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6E7F58">
      <w:rPr>
        <w:noProof/>
        <w:lang w:eastAsia="fr-FR"/>
      </w:rPr>
      <w:t xml:space="preserve">  </w:t>
    </w:r>
    <w:r w:rsidR="005D2F98">
      <w:rPr>
        <w:noProof/>
        <w:lang w:eastAsia="fr-FR"/>
      </w:rPr>
      <w:drawing>
        <wp:inline distT="0" distB="0" distL="0" distR="0" wp14:anchorId="585204F7" wp14:editId="72955AF5">
          <wp:extent cx="1950720" cy="259080"/>
          <wp:effectExtent l="0" t="0" r="0" b="7620"/>
          <wp:docPr id="418261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0720" cy="2590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EEBB" w14:textId="77777777" w:rsidR="000644F3" w:rsidRDefault="000644F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3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9587344">
    <w:abstractNumId w:val="1"/>
  </w:num>
  <w:num w:numId="2" w16cid:durableId="610479409">
    <w:abstractNumId w:val="3"/>
  </w:num>
  <w:num w:numId="3" w16cid:durableId="1370109841">
    <w:abstractNumId w:val="2"/>
  </w:num>
  <w:num w:numId="4" w16cid:durableId="1345012874">
    <w:abstractNumId w:val="4"/>
  </w:num>
  <w:num w:numId="5" w16cid:durableId="788939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FF5"/>
    <w:rsid w:val="0000661C"/>
    <w:rsid w:val="000160F0"/>
    <w:rsid w:val="000644F3"/>
    <w:rsid w:val="00065FD9"/>
    <w:rsid w:val="00102E31"/>
    <w:rsid w:val="00140C17"/>
    <w:rsid w:val="00170476"/>
    <w:rsid w:val="001811D2"/>
    <w:rsid w:val="001B1A11"/>
    <w:rsid w:val="001E137C"/>
    <w:rsid w:val="00230D2E"/>
    <w:rsid w:val="00246EBE"/>
    <w:rsid w:val="002933D0"/>
    <w:rsid w:val="002C3D43"/>
    <w:rsid w:val="002D7815"/>
    <w:rsid w:val="003366D3"/>
    <w:rsid w:val="00337BD7"/>
    <w:rsid w:val="00343B07"/>
    <w:rsid w:val="0036304F"/>
    <w:rsid w:val="00380E35"/>
    <w:rsid w:val="0038176B"/>
    <w:rsid w:val="003A5ED8"/>
    <w:rsid w:val="003B630C"/>
    <w:rsid w:val="003C5403"/>
    <w:rsid w:val="00432F59"/>
    <w:rsid w:val="00471AE3"/>
    <w:rsid w:val="0048385A"/>
    <w:rsid w:val="004B6CA1"/>
    <w:rsid w:val="004C65D8"/>
    <w:rsid w:val="004D0E6A"/>
    <w:rsid w:val="004D1065"/>
    <w:rsid w:val="005277D9"/>
    <w:rsid w:val="0053084F"/>
    <w:rsid w:val="00532C8E"/>
    <w:rsid w:val="00536D03"/>
    <w:rsid w:val="00541747"/>
    <w:rsid w:val="005451FB"/>
    <w:rsid w:val="005753FC"/>
    <w:rsid w:val="00577187"/>
    <w:rsid w:val="005D2F98"/>
    <w:rsid w:val="005F0E86"/>
    <w:rsid w:val="00622940"/>
    <w:rsid w:val="00653FC3"/>
    <w:rsid w:val="006B5BED"/>
    <w:rsid w:val="006E7F58"/>
    <w:rsid w:val="00702A7F"/>
    <w:rsid w:val="00704307"/>
    <w:rsid w:val="0070603C"/>
    <w:rsid w:val="00713CFF"/>
    <w:rsid w:val="0072132D"/>
    <w:rsid w:val="00734390"/>
    <w:rsid w:val="007473A8"/>
    <w:rsid w:val="00753C09"/>
    <w:rsid w:val="00761F2C"/>
    <w:rsid w:val="007940B7"/>
    <w:rsid w:val="00794DD2"/>
    <w:rsid w:val="007A6024"/>
    <w:rsid w:val="007A7C85"/>
    <w:rsid w:val="007C6822"/>
    <w:rsid w:val="007C709A"/>
    <w:rsid w:val="008252A8"/>
    <w:rsid w:val="00843FA9"/>
    <w:rsid w:val="00850DAE"/>
    <w:rsid w:val="008808F6"/>
    <w:rsid w:val="008973D3"/>
    <w:rsid w:val="008A180A"/>
    <w:rsid w:val="008F50EB"/>
    <w:rsid w:val="00927AC2"/>
    <w:rsid w:val="00942509"/>
    <w:rsid w:val="00983AB9"/>
    <w:rsid w:val="00992434"/>
    <w:rsid w:val="00997085"/>
    <w:rsid w:val="009A01E5"/>
    <w:rsid w:val="009F26F3"/>
    <w:rsid w:val="00A0161E"/>
    <w:rsid w:val="00A2370C"/>
    <w:rsid w:val="00A33F16"/>
    <w:rsid w:val="00A375F1"/>
    <w:rsid w:val="00A44DEB"/>
    <w:rsid w:val="00A83CC6"/>
    <w:rsid w:val="00AA1729"/>
    <w:rsid w:val="00AC2EBE"/>
    <w:rsid w:val="00B138C7"/>
    <w:rsid w:val="00B17157"/>
    <w:rsid w:val="00B313F5"/>
    <w:rsid w:val="00B67C10"/>
    <w:rsid w:val="00B87F67"/>
    <w:rsid w:val="00B9351B"/>
    <w:rsid w:val="00BD6B19"/>
    <w:rsid w:val="00C0281F"/>
    <w:rsid w:val="00C05E1A"/>
    <w:rsid w:val="00CB1039"/>
    <w:rsid w:val="00CC1F67"/>
    <w:rsid w:val="00CE1B74"/>
    <w:rsid w:val="00CF3F95"/>
    <w:rsid w:val="00D101FD"/>
    <w:rsid w:val="00D60BBE"/>
    <w:rsid w:val="00D903FA"/>
    <w:rsid w:val="00D90507"/>
    <w:rsid w:val="00D93A8A"/>
    <w:rsid w:val="00DC26C7"/>
    <w:rsid w:val="00DD28E1"/>
    <w:rsid w:val="00E01CAC"/>
    <w:rsid w:val="00E11B86"/>
    <w:rsid w:val="00E26979"/>
    <w:rsid w:val="00E6179B"/>
    <w:rsid w:val="00E7167B"/>
    <w:rsid w:val="00E752B2"/>
    <w:rsid w:val="00E856DE"/>
    <w:rsid w:val="00E96FC5"/>
    <w:rsid w:val="00EA2020"/>
    <w:rsid w:val="00EA72F5"/>
    <w:rsid w:val="00EB0BE3"/>
    <w:rsid w:val="00EC238D"/>
    <w:rsid w:val="00EC78CE"/>
    <w:rsid w:val="00ED6011"/>
    <w:rsid w:val="00EE2A6A"/>
    <w:rsid w:val="00F0433F"/>
    <w:rsid w:val="00F079C5"/>
    <w:rsid w:val="00F13671"/>
    <w:rsid w:val="00F13CC1"/>
    <w:rsid w:val="00F1746D"/>
    <w:rsid w:val="00F25BA8"/>
    <w:rsid w:val="00F627EF"/>
    <w:rsid w:val="00F719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EBE"/>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rPr>
      <w:szCs w:val="20"/>
    </w:r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66673F77E17748A079C7E3F27B4556" ma:contentTypeVersion="3" ma:contentTypeDescription="Crée un document." ma:contentTypeScope="" ma:versionID="8a8f8451e6c4d9459e3e2f391506fca4">
  <xsd:schema xmlns:xsd="http://www.w3.org/2001/XMLSchema" xmlns:xs="http://www.w3.org/2001/XMLSchema" xmlns:p="http://schemas.microsoft.com/office/2006/metadata/properties" xmlns:ns2="cea7c644-c311-4d44-b6e6-c264e64bf46a" targetNamespace="http://schemas.microsoft.com/office/2006/metadata/properties" ma:root="true" ma:fieldsID="760f137c66b364ad69928cdefa8199dc" ns2:_="">
    <xsd:import namespace="cea7c644-c311-4d44-b6e6-c264e64bf4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7c644-c311-4d44-b6e6-c264e64bf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DB6E87-AFBD-44FC-B760-7172263C0748}">
  <ds:schemaRefs>
    <ds:schemaRef ds:uri="http://schemas.microsoft.com/sharepoint/v3/contenttype/forms"/>
  </ds:schemaRefs>
</ds:datastoreItem>
</file>

<file path=customXml/itemProps2.xml><?xml version="1.0" encoding="utf-8"?>
<ds:datastoreItem xmlns:ds="http://schemas.openxmlformats.org/officeDocument/2006/customXml" ds:itemID="{CE5A25D4-AFBA-470C-8320-207388D004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D84234-09FA-4EE9-AD91-F66DBAE24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7c644-c311-4d44-b6e6-c264e64b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620</Words>
  <Characters>3415</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74</cp:revision>
  <cp:lastPrinted>2023-11-28T09:24:00Z</cp:lastPrinted>
  <dcterms:created xsi:type="dcterms:W3CDTF">2022-11-18T10:14:00Z</dcterms:created>
  <dcterms:modified xsi:type="dcterms:W3CDTF">2023-11-28T09:24:00Z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0x0101003966673F77E17748A079C7E3F27B4556</vt:lpwstr>
  </property>
</Properties>
</file>